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bba89c5b267f26b7684fc00dfd2a6d633bfbe87"/>
    <w:p>
      <w:pPr>
        <w:pStyle w:val="Heading1"/>
      </w:pPr>
      <w:r>
        <w:t xml:space="preserve">Budget for mySNF (Ambizione 2026), working version of 20 October 2026</w:t>
      </w:r>
    </w:p>
    <w:p>
      <w:pPr>
        <w:pStyle w:val="FirstParagraph"/>
      </w:pPr>
      <w:r>
        <w:t xml:space="preserve">Two things are entered in mySNF. The applicant’s salary, which the grant pays separately, and the</w:t>
      </w:r>
      <w:r>
        <w:t xml:space="preserve"> </w:t>
      </w:r>
      <w:r>
        <w:t xml:space="preserve">project funds, capped at CHF 250,000 over four years including social charges. The budget is</w:t>
      </w:r>
      <w:r>
        <w:t xml:space="preserve"> </w:t>
      </w:r>
      <w:r>
        <w:t xml:space="preserve">line by line and frozen at submission. Each category has a</w:t>
      </w:r>
      <w:r>
        <w:t xml:space="preserve"> </w:t>
      </w:r>
      <w:r>
        <w:t xml:space="preserve">“</w:t>
      </w:r>
      <w:r>
        <w:t xml:space="preserve">remarques</w:t>
      </w:r>
      <w:r>
        <w:t xml:space="preserve">”</w:t>
      </w:r>
      <w:r>
        <w:t xml:space="preserve"> </w:t>
      </w:r>
      <w:r>
        <w:t xml:space="preserve">box, and the RGO advises</w:t>
      </w:r>
      <w:r>
        <w:t xml:space="preserve"> </w:t>
      </w:r>
      <w:r>
        <w:t xml:space="preserve">to justify every amount there and to point to the plan sections (2.3.3 workplan, 2.4 resources,</w:t>
      </w:r>
      <w:r>
        <w:t xml:space="preserve"> </w:t>
      </w:r>
      <w:r>
        <w:t xml:space="preserve">2.5 schedule). Open-access publication costs are not eligible here (separate mechanism).</w:t>
      </w:r>
    </w:p>
    <w:p>
      <w:pPr>
        <w:pStyle w:val="BodyText"/>
      </w:pPr>
      <w:r>
        <w:t xml:space="preserve">Figures marked (assumed) are planning assumptions to be confirmed by the applicant or the RGO.</w:t>
      </w:r>
      <w:r>
        <w:t xml:space="preserve"> </w:t>
      </w:r>
      <w:r>
        <w:t xml:space="preserve">Social charges are 23% in Geneva and mySNF adds them automatically. They are shown here so that</w:t>
      </w:r>
      <w:r>
        <w:t xml:space="preserve"> </w:t>
      </w:r>
      <w:r>
        <w:t xml:space="preserve">the total can be checked against the cap.</w:t>
      </w:r>
    </w:p>
    <w:bookmarkStart w:id="23" w:name="applicant-salary"/>
    <w:p>
      <w:pPr>
        <w:pStyle w:val="Heading2"/>
      </w:pPr>
      <w:r>
        <w:t xml:space="preserve">1. Applicant salary</w:t>
      </w:r>
    </w:p>
    <w:bookmarkStart w:id="20" w:name="what-is-known"/>
    <w:p>
      <w:pPr>
        <w:pStyle w:val="Heading3"/>
      </w:pPr>
      <w:r>
        <w:t xml:space="preserve">What is known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function adjoint scientifique, class 19, annuity 9 in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Annuities suspended in 2026 (no annuity paid, no indexation)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du personnel de l’Etat, conditions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Conseil d’Etat decided on 17 Sept 2026 to grant the annuity in 2027, without indexation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on the 2027 draft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2026 budget was never adopted (twelfths regime). The 2027 budget still has to pass the Grand Conseil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Ambizione grantees at UNIGE are collaborateur/trice scientifique II, class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RGO, 13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19 scale 2026, from the RGO table. 19/12 CHF 131,330, 19/13 132,379, 19/14 133,428, 19/15 134,477, one annuity = CHF 1,049 at this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RGO, 13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19 in 2019 ran from CHF 101,376 (annuity 0) to 137,068 (annuity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Conseil written answer, 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RGO’s own estimate for year 1 was 19/12 (her text also mentions 19/11 for 2027-2028)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RGO, 13 Oct</w:t>
            </w:r>
          </w:p>
        </w:tc>
      </w:tr>
    </w:tbl>
    <w:bookmarkEnd w:id="20"/>
    <w:bookmarkStart w:id="21" w:name="X973cb2c88cc5eb2b444ab8260780c344da616d3"/>
    <w:p>
      <w:pPr>
        <w:pStyle w:val="Heading3"/>
      </w:pPr>
      <w:r>
        <w:t xml:space="preserve">Reasoning on the annuity at the start, September 2027</w:t>
      </w:r>
    </w:p>
    <w:p>
      <w:pPr>
        <w:numPr>
          <w:ilvl w:val="0"/>
          <w:numId w:val="1001"/>
        </w:numPr>
        <w:pStyle w:val="Compact"/>
      </w:pPr>
      <w:r>
        <w:t xml:space="preserve">If the 2027 budget passes with the annuity, the applicant moves from 19/9 to 19/10 on</w:t>
      </w:r>
      <w:r>
        <w:t xml:space="preserve"> </w:t>
      </w:r>
      <w:r>
        <w:t xml:space="preserve">1 January 2027 and is at 19/10 when the grant starts. If the budget fails again and the</w:t>
      </w:r>
      <w:r>
        <w:t xml:space="preserve"> </w:t>
      </w:r>
      <w:r>
        <w:t xml:space="preserve">State runs on twelfths, no annuity is paid and he stays at 19/9.</w:t>
      </w:r>
    </w:p>
    <w:p>
      <w:pPr>
        <w:numPr>
          <w:ilvl w:val="0"/>
          <w:numId w:val="1001"/>
        </w:numPr>
        <w:pStyle w:val="Compact"/>
      </w:pPr>
      <w:r>
        <w:t xml:space="preserve">The change of function to collaborateur scientifique II is within class 19. Geneva staff</w:t>
      </w:r>
      <w:r>
        <w:t xml:space="preserve"> </w:t>
      </w:r>
      <w:r>
        <w:t xml:space="preserve">rules protect the acquired salary on a change of function inside the State and the</w:t>
      </w:r>
      <w:r>
        <w:t xml:space="preserve"> </w:t>
      </w:r>
      <w:r>
        <w:t xml:space="preserve">University, so the entry annuity cannot be below the current one. 19/9 or 19/10 is the floor.</w:t>
      </w:r>
    </w:p>
    <w:p>
      <w:pPr>
        <w:numPr>
          <w:ilvl w:val="0"/>
          <w:numId w:val="1001"/>
        </w:numPr>
        <w:pStyle w:val="Compact"/>
      </w:pPr>
      <w:r>
        <w:t xml:space="preserve">At appointment, UNIGE sets the annuity from the experience it recognises. For scientific</w:t>
      </w:r>
      <w:r>
        <w:t xml:space="preserve"> </w:t>
      </w:r>
      <w:r>
        <w:t xml:space="preserve">collaborators, post-doctoral experience is counted, and the RGO’s figure (19/12 in year 1)</w:t>
      </w:r>
      <w:r>
        <w:t xml:space="preserve"> </w:t>
      </w:r>
      <w:r>
        <w:t xml:space="preserve">suggests she applied that recognition to the 3.75 years since the doctorate (December 2023)</w:t>
      </w:r>
      <w:r>
        <w:t xml:space="preserve"> </w:t>
      </w:r>
      <w:r>
        <w:t xml:space="preserve">on top of the current position. Whether years of research before the doctorate count is HR’s</w:t>
      </w:r>
      <w:r>
        <w:t xml:space="preserve"> </w:t>
      </w:r>
      <w:r>
        <w:t xml:space="preserve">decision and cannot be settled here.</w:t>
      </w:r>
    </w:p>
    <w:p>
      <w:pPr>
        <w:numPr>
          <w:ilvl w:val="0"/>
          <w:numId w:val="1001"/>
        </w:numPr>
        <w:pStyle w:val="Compact"/>
      </w:pPr>
      <w:r>
        <w:t xml:space="preserve">The exact amounts below annuity 12 are not in the RGO table. The scale’s early steps are</w:t>
      </w:r>
      <w:r>
        <w:t xml:space="preserve"> </w:t>
      </w:r>
      <w:r>
        <w:t xml:space="preserve">larger than the top steps (the 2019 class average step was about 1,620 against about 1,010 at</w:t>
      </w:r>
      <w:r>
        <w:t xml:space="preserve"> </w:t>
      </w:r>
      <w:r>
        <w:t xml:space="preserve">the top), so the extrapolation with a constant step of 1,049 slightly overstates 19/9 to</w:t>
      </w:r>
      <w:r>
        <w:t xml:space="preserve"> </w:t>
      </w:r>
      <w:r>
        <w:t xml:space="preserve">19/11. HR’s figure will be a little lower. mySNF corrects it at award.</w:t>
      </w:r>
    </w:p>
    <w:p>
      <w:pPr>
        <w:pStyle w:val="FirstParagraph"/>
      </w:pPr>
      <w:r>
        <w:t xml:space="preserve">Best estimate for September 2027: 19/10 is the most likely floor, 19/11 to 19/12 is plausible if</w:t>
      </w:r>
      <w:r>
        <w:t xml:space="preserve"> </w:t>
      </w:r>
      <w:r>
        <w:t xml:space="preserve">HR recognises the post-doctoral years at the change of function. Nothing in the rules lets it go</w:t>
      </w:r>
      <w:r>
        <w:t xml:space="preserve"> </w:t>
      </w:r>
      <w:r>
        <w:t xml:space="preserve">lower than today.</w:t>
      </w:r>
    </w:p>
    <w:bookmarkEnd w:id="21"/>
    <w:bookmarkStart w:id="22" w:name="X4f6d05dca703cd7ac0b9449a7d3b6a7a4667c86"/>
    <w:p>
      <w:pPr>
        <w:pStyle w:val="Heading3"/>
      </w:pPr>
      <w:r>
        <w:t xml:space="preserve">The possible entries (gross at 100%, one annuity per year from the start)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to 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Applicant’s choice (20 Oct), 19/9 at start, no annuity in 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129,757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19/10 at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19/11 at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131,855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RGO table, 19/12 at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132,904</w:t>
            </w:r>
          </w:p>
        </w:tc>
      </w:tr>
    </w:tbl>
    <w:p>
      <w:pPr>
        <w:pStyle w:val="BodyText"/>
      </w:pPr>
      <w:r>
        <w:t xml:space="preserve">Decision (applicant, 20 Oct). Enter the first row, 19/9 at the start, average CHF 129,757, or</w:t>
      </w:r>
      <w:r>
        <w:t xml:space="preserve"> </w:t>
      </w:r>
      <w:r>
        <w:t xml:space="preserve">the four yearly figures if mySNF asks year by year. This is the cautious reading (2027 annuity</w:t>
      </w:r>
      <w:r>
        <w:t xml:space="preserve"> </w:t>
      </w:r>
      <w:r>
        <w:t xml:space="preserve">not yet voted, no recognition assumed). mySNF adds the 23% charges itself, about CHF 159,600</w:t>
      </w:r>
      <w:r>
        <w:t xml:space="preserve"> </w:t>
      </w:r>
      <w:r>
        <w:t xml:space="preserve">per year all-in. HR confirms the exact amount at award and it can only be higher.</w:t>
      </w:r>
    </w:p>
    <w:bookmarkEnd w:id="22"/>
    <w:bookmarkEnd w:id="23"/>
    <w:bookmarkStart w:id="27" w:name="Xc0a5f142442e88d3d328a3956f694b908eb3cb0"/>
    <w:p>
      <w:pPr>
        <w:pStyle w:val="Heading2"/>
      </w:pPr>
      <w:r>
        <w:t xml:space="preserve">2. Project funds, cap CHF 250,000 including charges</w:t>
      </w:r>
    </w:p>
    <w:bookmarkStart w:id="24" w:name="staff"/>
    <w:p>
      <w:pPr>
        <w:pStyle w:val="Heading3"/>
      </w:pPr>
      <w:r>
        <w:t xml:space="preserve">Staff</w:t>
      </w:r>
    </w:p>
    <w:p>
      <w:pPr>
        <w:pStyle w:val="FirstParagraph"/>
      </w:pPr>
      <w:r>
        <w:t xml:space="preserve">Two people, as the applicant intends. A part-time scientific collaborator or adjoint-e</w:t>
      </w:r>
      <w:r>
        <w:t xml:space="preserve"> </w:t>
      </w:r>
      <w:r>
        <w:t xml:space="preserve">scientifique I, class 17, external to the group, and a master’s student paid as ARE (auxiliaire</w:t>
      </w:r>
      <w:r>
        <w:t xml:space="preserve"> </w:t>
      </w:r>
      <w:r>
        <w:t xml:space="preserve">de recherche et d’enseignement).</w:t>
      </w:r>
    </w:p>
    <w:p>
      <w:pPr>
        <w:pStyle w:val="BodyText"/>
      </w:pPr>
      <w:r>
        <w:t xml:space="preserve">Planning rates (assumed, to confirm with the RGO or HR).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17, gross at 100%, entry annuity around 4 to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 105,000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range 92,832 to 125,526 indexed by about 3.5%, middle of the lower third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charges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ARE, class 6 annuity 0, gross per month at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 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UNIGE ARE postings 2026-2027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at 40%, gross per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 1,820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times the 10% figure</w:t>
            </w:r>
          </w:p>
        </w:tc>
      </w:tr>
    </w:tbl>
    <w:p>
      <w:pPr>
        <w:pStyle w:val="BodyText"/>
      </w:pPr>
      <w:r>
        <w:t xml:space="preserve">On the categories. An ARE is by definition a student, enrolled in a bachelor or a master and</w:t>
      </w:r>
      <w:r>
        <w:t xml:space="preserve"> </w:t>
      </w:r>
      <w:r>
        <w:t xml:space="preserve">without a master’s degree at hiring, paid at class 6 annuity 0. The class-17 collaborator is a</w:t>
      </w:r>
      <w:r>
        <w:t xml:space="preserve"> </w:t>
      </w:r>
      <w:r>
        <w:t xml:space="preserve">different category (adjoint-e scientifique I or collaborateur/trice scientifique I, PAT or</w:t>
      </w:r>
      <w:r>
        <w:t xml:space="preserve"> </w:t>
      </w:r>
      <w:r>
        <w:t xml:space="preserve">scientific staff), not an ARE. The RGO’s</w:t>
      </w:r>
      <w:r>
        <w:t xml:space="preserve"> </w:t>
      </w:r>
      <w:r>
        <w:t xml:space="preserve">“</w:t>
      </w:r>
      <w:r>
        <w:t xml:space="preserve">ARE at most 40%</w:t>
      </w:r>
      <w:r>
        <w:t xml:space="preserve">”</w:t>
      </w:r>
      <w:r>
        <w:t xml:space="preserve"> </w:t>
      </w:r>
      <w:r>
        <w:t xml:space="preserve">concerns the student only.</w:t>
      </w:r>
    </w:p>
    <w:p>
      <w:pPr>
        <w:pStyle w:val="BodyText"/>
      </w:pPr>
      <w:r>
        <w:t xml:space="preserve">Scenario A, the applicant’s choice (20 Oct), fitted under the cap. Collaborator at 40% from M3,</w:t>
      </w:r>
      <w:r>
        <w:t xml:space="preserve"> </w:t>
      </w:r>
      <w:r>
        <w:t xml:space="preserve">when the benchmark starts, to M48, that is 46 months. Master’s student at a minimum, ARE at 10%</w:t>
      </w:r>
      <w:r>
        <w:t xml:space="preserve"> </w:t>
      </w:r>
      <w:r>
        <w:t xml:space="preserve">for the seven benchmark months. Every expense listed.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376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Scientific collaborator, class 17, 40%, M3 to M48 (46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161,000, charges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198,030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Master’s student, ARE 10%, M3 to 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455 per month, 7 months, charges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European at 2,000 (fee, travel, three nights) and 1 overseas at 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stays abroad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stays of one to two weeks with forecasting groups, at 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Visiting 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incoming visitors hosted in Geneva, at 1,500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elicitation workshop with the services (WP4) and final briefing, at 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services,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database and secure-environment runs with UNIGE IT, about eight developer days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services,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hosted instance for observation mode, two years at 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research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and curation of the benchmark, code and evaluation outputs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 data-office extraction and preparation of the emergency series (to confirm)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ethics commission fees for the Art. 34 submission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249,848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Headroom under CHF 250,000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</w:tr>
    </w:tbl>
    <w:p>
      <w:pPr>
        <w:pStyle w:val="BodyText"/>
      </w:pPr>
      <w:r>
        <w:t xml:space="preserve">Adjustment rule, since the class-17 gross is an assumption. Each CHF 5,000 of gross at 100%</w:t>
      </w:r>
      <w:r>
        <w:t xml:space="preserve"> </w:t>
      </w:r>
      <w:r>
        <w:t xml:space="preserve">above 105,000 adds about 9,430 to the collaborator line. Cut in this order until the total is</w:t>
      </w:r>
      <w:r>
        <w:t xml:space="preserve"> </w:t>
      </w:r>
      <w:r>
        <w:t xml:space="preserve">back under the cap. The overseas conference (4,000), one short stay (3,000), the HUG fee line</w:t>
      </w:r>
      <w:r>
        <w:t xml:space="preserve"> </w:t>
      </w:r>
      <w:r>
        <w:t xml:space="preserve">(3,000), one visitor (1,500), then shorten the collaborator by one month (about 4,300 per</w:t>
      </w:r>
      <w:r>
        <w:t xml:space="preserve"> </w:t>
      </w:r>
      <w:r>
        <w:t xml:space="preserve">month). If the gross is below 105,000, add back in the reverse order, then raise the student to</w:t>
      </w:r>
      <w:r>
        <w:t xml:space="preserve"> </w:t>
      </w:r>
      <w:r>
        <w:t xml:space="preserve">20% (about 3,900 more).</w:t>
      </w:r>
    </w:p>
    <w:p>
      <w:pPr>
        <w:pStyle w:val="BodyText"/>
      </w:pPr>
      <w:r>
        <w:t xml:space="preserve">On the master’s student. Paying a minimum is the right call. The thesis itself is academic work</w:t>
      </w:r>
      <w:r>
        <w:t xml:space="preserve"> </w:t>
      </w:r>
      <w:r>
        <w:t xml:space="preserve">and is not paid, the ARE contract at 10% (about four hours a week) recognises the extraction</w:t>
      </w:r>
      <w:r>
        <w:t xml:space="preserve"> </w:t>
      </w:r>
      <w:r>
        <w:t xml:space="preserve">work on the benchmark, keeps the student inside the University’s rules and costs under 4,000.</w:t>
      </w:r>
      <w:r>
        <w:t xml:space="preserve"> </w:t>
      </w:r>
      <w:r>
        <w:t xml:space="preserve">If the student, not the collaborator, is to be the second extractor of T1.2, raise to 20% for</w:t>
      </w:r>
      <w:r>
        <w:t xml:space="preserve"> </w:t>
      </w:r>
      <w:r>
        <w:t xml:space="preserve">the seven months (7,835 with charges) and cut the overseas conference.</w:t>
      </w:r>
    </w:p>
    <w:p>
      <w:pPr>
        <w:pStyle w:val="BodyText"/>
      </w:pPr>
      <w:r>
        <w:t xml:space="preserve">Scenario A as first asked, 40% for 48 months from M1, for the record.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 23% charges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 at 40%, 48 months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206,640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at 10%, 7 months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210,558</w:t>
            </w:r>
          </w:p>
        </w:tc>
      </w:tr>
    </w:tbl>
    <w:p>
      <w:pPr>
        <w:pStyle w:val="BodyText"/>
      </w:pPr>
      <w:r>
        <w:t xml:space="preserve">With the other lines above (47,900) it reaches 258,458, over the cap by about 8,500. Starting</w:t>
      </w:r>
      <w:r>
        <w:t xml:space="preserve"> </w:t>
      </w:r>
      <w:r>
        <w:t xml:space="preserve">the hire at M3, where the plan places the benchmark, is what makes it fit.</w:t>
      </w:r>
    </w:p>
    <w:p>
      <w:pPr>
        <w:pStyle w:val="BodyText"/>
      </w:pPr>
      <w:r>
        <w:t xml:space="preserve">Scenario B, for reference, collaborator at 40% for 7 months, then 20% for 36 months.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 23% charges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 at 40%, 7 months (M3 to M9)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17 at 20%, 36 months (M10 to M45)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77,490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 at 40%, 7 months (second extractor, M3 to M9)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123,295</w:t>
            </w:r>
          </w:p>
        </w:tc>
      </w:tr>
    </w:tbl>
    <w:bookmarkEnd w:id="24"/>
    <w:bookmarkStart w:id="25" w:name="Xfd4fffc74474d0d6baa13e02d8be4e935aaac4c"/>
    <w:p>
      <w:pPr>
        <w:pStyle w:val="Heading3"/>
      </w:pPr>
      <w:r>
        <w:t xml:space="preserve">Other lines as first drafted (before the fit, for 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376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 in mySNF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Travel, conferences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European conferences per year at 2,000 (fee, travel, three nights) and one overseas at 4,000 over the grant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Travel,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short stays of one to two weeks with forecasting groups abroad, at 3,500 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Travel, incoming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visiting researchers hosted in Geneva, at 1,500 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Elicitation workshop with the emergency services (WP4, M36 to M40) and a final results briefing, at 1,500 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database set-up and secure-environment runs with UNIGE IT, about ten developer days at 1,000, plus hosting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services,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cloud or institutional instance for the daily observation-mode dashboard, two years at 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research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and curation of the extraction benchmark, the code and the evaluation outputs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 data-office extraction and preparation fees for the emergency series (to confirm, may be zero)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Ethics commission fees for the Art. 34 LRH authorisation or clarification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lines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56,900</w:t>
            </w:r>
          </w:p>
        </w:tc>
      </w:tr>
    </w:tbl>
    <w:p>
      <w:pPr>
        <w:pStyle w:val="BodyText"/>
      </w:pPr>
      <w:r>
        <w:t xml:space="preserve">Not budgeted, by rule or because the host provides them. Open-access fees (separate SNSF</w:t>
      </w:r>
      <w:r>
        <w:t xml:space="preserve"> </w:t>
      </w:r>
      <w:r>
        <w:t xml:space="preserve">mechanism), computing on the UNIGE HPC (free for UNIGE researchers), laptops and ordinary</w:t>
      </w:r>
      <w:r>
        <w:t xml:space="preserve"> </w:t>
      </w:r>
      <w:r>
        <w:t xml:space="preserve">software, GESICA and GeoAI4EI meeting travel (covered by the consortia, to confirm).</w:t>
      </w:r>
    </w:p>
    <w:bookmarkEnd w:id="25"/>
    <w:bookmarkStart w:id="26" w:name="totals-against-the-cap"/>
    <w:p>
      <w:pPr>
        <w:pStyle w:val="Heading3"/>
      </w:pPr>
      <w:r>
        <w:t xml:space="preserve">Totals against the cap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Scenario A fitted (M3 to M48)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including the 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201,948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249,848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Against CHF 250,000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under by 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under by 69,805</w:t>
            </w:r>
          </w:p>
        </w:tc>
      </w:tr>
    </w:tbl>
    <w:p>
      <w:pPr>
        <w:pStyle w:val="BodyText"/>
      </w:pPr>
      <w:r>
        <w:t xml:space="preserve">The applicant chose scenario A (20 Oct). Scenario B stays here as the fallback if the RGO</w:t>
      </w:r>
      <w:r>
        <w:t xml:space="preserve"> </w:t>
      </w:r>
      <w:r>
        <w:t xml:space="preserve">returns a class-17 gross well above 105,000.</w:t>
      </w:r>
    </w:p>
    <w:bookmarkEnd w:id="26"/>
    <w:bookmarkEnd w:id="27"/>
    <w:bookmarkStart w:id="28" w:name="Xc74635b86ec09e9ef801ae75934ce49e9e2e37e"/>
    <w:p>
      <w:pPr>
        <w:pStyle w:val="Heading2"/>
      </w:pPr>
      <w:r>
        <w:t xml:space="preserve">3. Remarks to paste in mySNF (one per category, English)</w:t>
      </w:r>
    </w:p>
    <w:p>
      <w:pPr>
        <w:pStyle w:val="FirstParagraph"/>
      </w:pPr>
      <w:r>
        <w:t xml:space="preserve">Staff, scientific collaborator (class 17, 40%, M3 to M48). Supports the labour-intensive</w:t>
      </w:r>
      <w:r>
        <w:t xml:space="preserve"> </w:t>
      </w:r>
      <w:r>
        <w:t xml:space="preserve">specified work. Second extraction arm of the manual benchmark in T1.2 (M3 to M9), then data</w:t>
      </w:r>
      <w:r>
        <w:t xml:space="preserve"> </w:t>
      </w:r>
      <w:r>
        <w:t xml:space="preserve">handling, the rolling replay pipeline of WP3, the dashboard runs and reproducibility of the</w:t>
      </w:r>
      <w:r>
        <w:t xml:space="preserve"> </w:t>
      </w:r>
      <w:r>
        <w:t xml:space="preserve">evaluation code. The scientific</w:t>
      </w:r>
      <w:r>
        <w:t xml:space="preserve"> </w:t>
      </w:r>
      <w:r>
        <w:t xml:space="preserve">design, the models and the analyses are the applicant’s (plan 2.3.3, 2.4). Doctoral students</w:t>
      </w:r>
      <w:r>
        <w:t xml:space="preserve"> </w:t>
      </w:r>
      <w:r>
        <w:t xml:space="preserve">and postdocs are not employed, in line with the Ambizione rules.</w:t>
      </w:r>
    </w:p>
    <w:p>
      <w:pPr>
        <w:pStyle w:val="BodyText"/>
      </w:pPr>
      <w:r>
        <w:t xml:space="preserve">Staff, master’s student (ARE, 10%, M3 to M9). Assists the manual extraction for the T1.2</w:t>
      </w:r>
      <w:r>
        <w:t xml:space="preserve"> </w:t>
      </w:r>
      <w:r>
        <w:t xml:space="preserve">benchmark under the registered protocol, alongside a master’s thesis on the project (plan 2.3.3,</w:t>
      </w:r>
      <w:r>
        <w:t xml:space="preserve"> </w:t>
      </w:r>
      <w:r>
        <w:t xml:space="preserve">T1.2). Hired through the University’s ARE scheme at the student rate.</w:t>
      </w:r>
    </w:p>
    <w:p>
      <w:pPr>
        <w:pStyle w:val="BodyText"/>
      </w:pPr>
      <w:r>
        <w:t xml:space="preserve">Travel, conferences. Two European conferences per year and one overseas over the grant, to</w:t>
      </w:r>
      <w:r>
        <w:t xml:space="preserve"> </w:t>
      </w:r>
      <w:r>
        <w:t xml:space="preserve">present the registered results to the forecasting and evidence-synthesis communities (ESCAIDE,</w:t>
      </w:r>
      <w:r>
        <w:t xml:space="preserve"> </w:t>
      </w:r>
      <w:r>
        <w:t xml:space="preserve">Epidemics, International Symposium on Forecasting, ISBA, ICASR). Estimated at CHF 2,000 per</w:t>
      </w:r>
      <w:r>
        <w:t xml:space="preserve"> </w:t>
      </w:r>
      <w:r>
        <w:t xml:space="preserve">European conference and CHF 4,000 overseas (plan 2.6, statement of mobility).</w:t>
      </w:r>
    </w:p>
    <w:p>
      <w:pPr>
        <w:pStyle w:val="BodyText"/>
      </w:pPr>
      <w:r>
        <w:t xml:space="preserve">Travel, mobility. Two short stays of one to two weeks with groups working on forecast evaluation</w:t>
      </w:r>
      <w:r>
        <w:t xml:space="preserve"> </w:t>
      </w:r>
      <w:r>
        <w:t xml:space="preserve">and nowcasting, hosts to be arranged once first results exist. Two visiting researchers hosted in</w:t>
      </w:r>
      <w:r>
        <w:t xml:space="preserve"> </w:t>
      </w:r>
      <w:r>
        <w:t xml:space="preserve">Geneva to reuse the open benchmark and code (statement of mobility, Regulations Art. 9 §4c).</w:t>
      </w:r>
    </w:p>
    <w:p>
      <w:pPr>
        <w:pStyle w:val="BodyText"/>
      </w:pPr>
      <w:r>
        <w:t xml:space="preserve">Workshops. One elicitation workshop with two to five experienced people from the Geneva</w:t>
      </w:r>
      <w:r>
        <w:t xml:space="preserve"> </w:t>
      </w:r>
      <w:r>
        <w:t xml:space="preserve">emergency services to set the costs of wrong decisions (plan 2.3.3, T4.1), and one final</w:t>
      </w:r>
      <w:r>
        <w:t xml:space="preserve"> </w:t>
      </w:r>
      <w:r>
        <w:t xml:space="preserve">briefing of results to the data partners (plan 2.6).</w:t>
      </w:r>
    </w:p>
    <w:p>
      <w:pPr>
        <w:pStyle w:val="BodyText"/>
      </w:pPr>
      <w:r>
        <w:t xml:space="preserve">IT services. Set-up of the project database and of the secure-environment runs with UNIGE IT</w:t>
      </w:r>
      <w:r>
        <w:t xml:space="preserve"> </w:t>
      </w:r>
      <w:r>
        <w:t xml:space="preserve">services, and a small instance for the daily dashboard in observation mode for the demand tests</w:t>
      </w:r>
      <w:r>
        <w:t xml:space="preserve"> </w:t>
      </w:r>
      <w:r>
        <w:t xml:space="preserve">that pass validation and that the services authorise (plan 2.3.3, T3.6 and WP4, 2.4).</w:t>
      </w:r>
    </w:p>
    <w:p>
      <w:pPr>
        <w:pStyle w:val="BodyText"/>
      </w:pPr>
      <w:r>
        <w:t xml:space="preserve">Open research data. Deposit and curation of the open extraction benchmark (D1.1), the code and</w:t>
      </w:r>
      <w:r>
        <w:t xml:space="preserve"> </w:t>
      </w:r>
      <w:r>
        <w:t xml:space="preserve">the evaluation outputs in a public repository with a persistent identifier (plan 2.6). Budgeted</w:t>
      </w:r>
      <w:r>
        <w:t xml:space="preserve"> </w:t>
      </w:r>
      <w:r>
        <w:t xml:space="preserve">now since it cannot be added later.</w:t>
      </w:r>
    </w:p>
    <w:p>
      <w:pPr>
        <w:pStyle w:val="BodyText"/>
      </w:pPr>
      <w:r>
        <w:t xml:space="preserve">Data access and regulatory fees. Extraction and preparation of the emergency series by the HUG</w:t>
      </w:r>
      <w:r>
        <w:t xml:space="preserve"> </w:t>
      </w:r>
      <w:r>
        <w:t xml:space="preserve">data office, and ethics commission fees for the Art. 34 LRH authorisation or clarification</w:t>
      </w:r>
      <w:r>
        <w:t xml:space="preserve"> </w:t>
      </w:r>
      <w:r>
        <w:t xml:space="preserve">(plan 2.4, data governance).</w:t>
      </w:r>
    </w:p>
    <w:bookmarkEnd w:id="28"/>
    <w:bookmarkStart w:id="29" w:name="to-confirm-before-entry"/>
    <w:p>
      <w:pPr>
        <w:pStyle w:val="Heading2"/>
      </w:pPr>
      <w:r>
        <w:t xml:space="preserve">4. To confirm before entry</w:t>
      </w:r>
    </w:p>
    <w:p>
      <w:pPr>
        <w:numPr>
          <w:ilvl w:val="0"/>
          <w:numId w:val="1002"/>
        </w:numPr>
        <w:pStyle w:val="Compact"/>
      </w:pPr>
      <w:r>
        <w:t xml:space="preserve">With the RGO. That a class-17 scientific collaborator or adjoint-e scientifique I at 40% is</w:t>
      </w:r>
      <w:r>
        <w:t xml:space="preserve"> </w:t>
      </w:r>
      <w:r>
        <w:t xml:space="preserve">eligible under the 2026 rules (her list named ARE at most 40%, the applicant’s intention is a</w:t>
      </w:r>
      <w:r>
        <w:t xml:space="preserve"> </w:t>
      </w:r>
      <w:r>
        <w:t xml:space="preserve">PAT position plus an ARE), and the gross at 100% HR would apply to such a hire.</w:t>
      </w:r>
    </w:p>
    <w:p>
      <w:pPr>
        <w:numPr>
          <w:ilvl w:val="0"/>
          <w:numId w:val="1002"/>
        </w:numPr>
        <w:pStyle w:val="Compact"/>
      </w:pPr>
      <w:r>
        <w:t xml:space="preserve">With the RGO or HR. The annuity UNIGE would set for the applicant as collaborateur</w:t>
      </w:r>
      <w:r>
        <w:t xml:space="preserve"> </w:t>
      </w:r>
      <w:r>
        <w:t xml:space="preserve">scientifique II in September 2027, if an answer is possible before submission.</w:t>
      </w:r>
    </w:p>
    <w:p>
      <w:pPr>
        <w:numPr>
          <w:ilvl w:val="0"/>
          <w:numId w:val="1002"/>
        </w:numPr>
        <w:pStyle w:val="Compact"/>
      </w:pPr>
      <w:r>
        <w:t xml:space="preserve">With the HUG data office. Whether extraction fees apply to the emergency series, and how much.</w:t>
      </w:r>
    </w:p>
    <w:p>
      <w:pPr>
        <w:numPr>
          <w:ilvl w:val="0"/>
          <w:numId w:val="1002"/>
        </w:numPr>
        <w:pStyle w:val="Compact"/>
      </w:pPr>
      <w:r>
        <w:t xml:space="preserve">With the CCER. Its fee schedule for the planned submission.</w:t>
      </w:r>
    </w:p>
    <w:p>
      <w:pPr>
        <w:numPr>
          <w:ilvl w:val="0"/>
          <w:numId w:val="1002"/>
        </w:numPr>
        <w:pStyle w:val="Compact"/>
      </w:pPr>
      <w:r>
        <w:t xml:space="preserve">In the plan. Table in 2.3.3 currently says</w:t>
      </w:r>
      <w:r>
        <w:t xml:space="preserve"> </w:t>
      </w:r>
      <w:r>
        <w:t xml:space="preserve">“</w:t>
      </w:r>
      <w:r>
        <w:t xml:space="preserve">Research assistants (master’s students, at most</w:t>
      </w:r>
      <w:r>
        <w:t xml:space="preserve"> </w:t>
      </w:r>
      <w:r>
        <w:t xml:space="preserve">40%)</w:t>
      </w:r>
      <w:r>
        <w:t xml:space="preserve">”</w:t>
      </w:r>
      <w:r>
        <w:t xml:space="preserve">. If the class-17 position is confirmed, the line becomes</w:t>
      </w:r>
      <w:r>
        <w:t xml:space="preserve"> </w:t>
      </w:r>
      <w:r>
        <w:t xml:space="preserve">“</w:t>
      </w:r>
      <w:r>
        <w:t xml:space="preserve">Scientific collaborator</w:t>
      </w:r>
      <w:r>
        <w:t xml:space="preserve"> </w:t>
      </w:r>
      <w:r>
        <w:t xml:space="preserve">(class 17, part-time) and a master’s student (ARE)</w:t>
      </w:r>
      <w:r>
        <w:t xml:space="preserve">”</w:t>
      </w:r>
      <w:r>
        <w:t xml:space="preserve">. This is a plan edit and waits for the</w:t>
      </w:r>
      <w:r>
        <w:t xml:space="preserve"> </w:t>
      </w:r>
      <w:r>
        <w:t xml:space="preserve">applicant’s go-ahead, with the reviewers’ comments.</w:t>
      </w:r>
    </w:p>
    <w:bookmarkEnd w:id="29"/>
    <w:bookmarkStart w:id="30" w:name="rules-from-the-call-documents-unchanged"/>
    <w:p>
      <w:pPr>
        <w:pStyle w:val="Heading2"/>
      </w:pPr>
      <w:r>
        <w:t xml:space="preserve">5. Rules from the call documents (unchanged)</w:t>
      </w:r>
    </w:p>
    <w:p>
      <w:pPr>
        <w:numPr>
          <w:ilvl w:val="0"/>
          <w:numId w:val="1003"/>
        </w:numPr>
        <w:pStyle w:val="Compact"/>
      </w:pPr>
      <w:r>
        <w:t xml:space="preserve">Project funds capped at CHF 250,000 for four years (Art. 10 §4), pro-rated if shorter.</w:t>
      </w:r>
    </w:p>
    <w:p>
      <w:pPr>
        <w:numPr>
          <w:ilvl w:val="0"/>
          <w:numId w:val="1003"/>
        </w:numPr>
        <w:pStyle w:val="Compact"/>
      </w:pPr>
      <w:r>
        <w:t xml:space="preserve">Applicant salary separate, work quota 100% (80% only for care duties or further</w:t>
      </w:r>
      <w:r>
        <w:t xml:space="preserve"> </w:t>
      </w:r>
      <w:r>
        <w:t xml:space="preserve">qualification). The SNSF confirms the exact salary with the institution for approved grants.</w:t>
      </w:r>
    </w:p>
    <w:p>
      <w:pPr>
        <w:numPr>
          <w:ilvl w:val="0"/>
          <w:numId w:val="1003"/>
        </w:numPr>
        <w:pStyle w:val="Compact"/>
      </w:pPr>
      <w:r>
        <w:t xml:space="preserve">Doctoral students and postdocs cannot be employed. Other staff can, and must be justified in</w:t>
      </w:r>
      <w:r>
        <w:t xml:space="preserve"> </w:t>
      </w:r>
      <w:r>
        <w:t xml:space="preserve">the plan (Guidelines 4.3), which 2.4 does.</w:t>
      </w:r>
    </w:p>
    <w:p>
      <w:pPr>
        <w:numPr>
          <w:ilvl w:val="0"/>
          <w:numId w:val="1003"/>
        </w:numPr>
        <w:pStyle w:val="Compact"/>
      </w:pPr>
      <w:r>
        <w:t xml:space="preserve">Equipment of enduring value at most CHF 100,000, not a live constraint.</w:t>
      </w:r>
    </w:p>
    <w:p>
      <w:pPr>
        <w:numPr>
          <w:ilvl w:val="0"/>
          <w:numId w:val="1003"/>
        </w:numPr>
        <w:pStyle w:val="Compact"/>
      </w:pPr>
      <w:r>
        <w:t xml:space="preserve">Open-access publication costs not eligible here. Open research data costs eligible, to be</w:t>
      </w:r>
      <w:r>
        <w:t xml:space="preserve"> </w:t>
      </w:r>
      <w:r>
        <w:t xml:space="preserve">budgeted now.</w:t>
      </w:r>
    </w:p>
    <w:p>
      <w:pPr>
        <w:numPr>
          <w:ilvl w:val="0"/>
          <w:numId w:val="1003"/>
        </w:numPr>
        <w:pStyle w:val="Compact"/>
      </w:pPr>
      <w:r>
        <w:t xml:space="preserve">No budget change after submission.</w:t>
      </w:r>
    </w:p>
    <w:bookmarkEnd w:id="30"/>
    <w:bookmarkStart w:id="31" w:name="decision-log"/>
    <w:p>
      <w:pPr>
        <w:pStyle w:val="Heading2"/>
      </w:pPr>
      <w:r>
        <w:t xml:space="preserve">6. Decision log</w:t>
      </w:r>
    </w:p>
    <w:p>
      <w:pPr>
        <w:numPr>
          <w:ilvl w:val="0"/>
          <w:numId w:val="1004"/>
        </w:numPr>
        <w:pStyle w:val="Compact"/>
      </w:pPr>
      <w:r>
        <w:t xml:space="preserve">13 Oct. RGO salary table from 19/12, average CHF 132,903.50, charges 23%, status collaborateur</w:t>
      </w:r>
      <w:r>
        <w:t xml:space="preserve"> </w:t>
      </w:r>
      <w:r>
        <w:t xml:space="preserve">scientifique II class 19. Budget guidance, justify every line in the remarks.</w:t>
      </w:r>
    </w:p>
    <w:p>
      <w:pPr>
        <w:numPr>
          <w:ilvl w:val="0"/>
          <w:numId w:val="1004"/>
        </w:numPr>
        <w:pStyle w:val="Compact"/>
      </w:pPr>
      <w:r>
        <w:t xml:space="preserve">14 Oct. RGO list of typical lines. Travel, mobility stays, two to three conferences per year,</w:t>
      </w:r>
      <w:r>
        <w:t xml:space="preserve"> </w:t>
      </w:r>
      <w:r>
        <w:t xml:space="preserve">workshops, ARE at most 40%, IT services.</w:t>
      </w:r>
    </w:p>
    <w:p>
      <w:pPr>
        <w:numPr>
          <w:ilvl w:val="0"/>
          <w:numId w:val="1004"/>
        </w:numPr>
        <w:pStyle w:val="Compact"/>
      </w:pPr>
      <w:r>
        <w:t xml:space="preserve">15 Oct. Applicant: he would start at 19/10 at best. Plan table rewritten without the 50%</w:t>
      </w:r>
      <w:r>
        <w:t xml:space="preserve"> </w:t>
      </w:r>
      <w:r>
        <w:t xml:space="preserve">collaborator.</w:t>
      </w:r>
    </w:p>
    <w:p>
      <w:pPr>
        <w:numPr>
          <w:ilvl w:val="0"/>
          <w:numId w:val="1004"/>
        </w:numPr>
        <w:pStyle w:val="Compact"/>
      </w:pPr>
      <w:r>
        <w:t xml:space="preserve">20 Oct, later. Applicant: enter 19/9 at the start (no 2027 annuity assumed), scenario A</w:t>
      </w:r>
      <w:r>
        <w:t xml:space="preserve"> </w:t>
      </w:r>
      <w:r>
        <w:t xml:space="preserve">preferred but never over the cap and without dropping much, all expenses listed, the</w:t>
      </w:r>
      <w:r>
        <w:t xml:space="preserve"> </w:t>
      </w:r>
      <w:r>
        <w:t xml:space="preserve">collaborator is class 17, question whether to pay the master’s student a minimum. Answer: yes,</w:t>
      </w:r>
      <w:r>
        <w:t xml:space="preserve"> </w:t>
      </w:r>
      <w:r>
        <w:t xml:space="preserve">ARE at 10% for seven months. Fitted by starting the hire at M3.</w:t>
      </w:r>
    </w:p>
    <w:p>
      <w:pPr>
        <w:numPr>
          <w:ilvl w:val="0"/>
          <w:numId w:val="1004"/>
        </w:numPr>
        <w:pStyle w:val="Compact"/>
      </w:pPr>
      <w:r>
        <w:t xml:space="preserve">20 Oct. Applicant: current scale 19/9 (adjoint scientifique), annuities frozen three years,</w:t>
      </w:r>
      <w:r>
        <w:t xml:space="preserve"> </w:t>
      </w:r>
      <w:r>
        <w:t xml:space="preserve">Ambizione status collaborateur scientifique II with annuities recalculated, no decrease</w:t>
      </w:r>
      <w:r>
        <w:t xml:space="preserve"> </w:t>
      </w:r>
      <w:r>
        <w:t xml:space="preserve">possible. Staff intention: one external person at 40% (PAT, adjoint scientifique, class 17)</w:t>
      </w:r>
      <w:r>
        <w:t xml:space="preserve"> </w:t>
      </w:r>
      <w:r>
        <w:t xml:space="preserve">plus a paid master’s student. Two simulations requested (40% for 48 months, 40% for 7 months</w:t>
      </w:r>
      <w:r>
        <w:t xml:space="preserve"> </w:t>
      </w:r>
      <w:r>
        <w:t xml:space="preserve">then 20% for 36 months). Conferences: two per year in Europe plus one overseas. All other</w:t>
      </w:r>
      <w:r>
        <w:t xml:space="preserve"> </w:t>
      </w:r>
      <w:r>
        <w:t xml:space="preserve">expenses to be included.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2026-10-20T12:31:03Z</dcterms:created>
  <dcterms:modified xsi:type="dcterms:W3CDTF">2026-10-20T12:31:03Z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