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Assembled document - do not edit here.</w:t>
      </w:r>
      <w:r>
        <w:t xml:space="preserve"> </w:t>
      </w:r>
      <w:r>
        <w:t xml:space="preserve">Generated by</w:t>
      </w:r>
      <w:r>
        <w:t xml:space="preserve"> </w:t>
      </w:r>
      <w:r>
        <w:rPr>
          <w:rStyle w:val="VerbatimChar"/>
        </w:rPr>
        <w:t xml:space="preserve">draft/assemble.sh</w:t>
      </w:r>
      <w:r>
        <w:t xml:space="preserve"> </w:t>
      </w:r>
      <w:r>
        <w:t xml:space="preserve">from the section files in</w:t>
      </w:r>
      <w:r>
        <w:t xml:space="preserve"> </w:t>
      </w:r>
      <w:r>
        <w:rPr>
          <w:rStyle w:val="VerbatimChar"/>
        </w:rPr>
        <w:t xml:space="preserve">draft/</w:t>
      </w:r>
      <w:r>
        <w:t xml:space="preserve">. Edit those, then re-run.</w:t>
      </w:r>
      <w:r>
        <w:t xml:space="preserve"> </w:t>
      </w:r>
      <w:r>
        <w:t xml:space="preserve">Figures are in</w:t>
      </w:r>
      <w:r>
        <w:t xml:space="preserve"> </w:t>
      </w:r>
      <w:r>
        <w:rPr>
          <w:rStyle w:val="VerbatimChar"/>
        </w:rPr>
        <w:t xml:space="preserve">draft/figures/</w:t>
      </w:r>
      <w:r>
        <w:t xml:space="preserve"> </w:t>
      </w:r>
      <w:r>
        <w:t xml:space="preserve">(regenerate with</w:t>
      </w:r>
      <w:r>
        <w:t xml:space="preserve"> </w:t>
      </w:r>
      <w:r>
        <w:rPr>
          <w:rStyle w:val="VerbatimChar"/>
        </w:rPr>
        <w:t xml:space="preserve">python3 draft/figures/make_figures.py</w:t>
      </w:r>
      <w:r>
        <w:t xml:space="preserve">).</w:t>
      </w:r>
      <w:r>
        <w:t xml:space="preserve"> </w:t>
      </w:r>
      <w:r>
        <w:t xml:space="preserve">Bibliography is</w:t>
      </w:r>
      <w:r>
        <w:t xml:space="preserve"> </w:t>
      </w:r>
      <w:r>
        <w:rPr>
          <w:rStyle w:val="VerbatimChar"/>
        </w:rPr>
        <w:t xml:space="preserve">draft/99-bibliography.md</w:t>
      </w:r>
      <w:r>
        <w:t xml:space="preserve">, excluded from the character count.</w:t>
      </w:r>
    </w:p>
    <w:p>
      <w:r>
        <w:pict>
          <v:rect style="width:0;height:1.5pt" o:hralign="center" o:hrstd="t" o:hr="t"/>
        </w:pict>
      </w:r>
    </w:p>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 prior: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provenance-tracked, certainty-graded extraction, pooled parameter distributions and candidate model specifications.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priors improve cold-start forecast skill, how fast that value decays, and when they cause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where the crisis is epidemiological) through an automated engine that checks each model's assumptions, scores it on established metrics, and selects each arm's champion under rules fixed in advance. Exactly one contrast is confirmatory: the champion with evidence-derived priors against the champion without them, repeated once, sequentially, as the heat generalisation test.</w:t>
      </w:r>
    </w:p>
    <w:p>
      <w:pPr>
        <w:pStyle w:val="BodyText"/>
      </w:pPr>
      <w:r>
        <w:t xml:space="preserve">Respiratory epidemics carry the confirmatory test, heatwaves the sequential generalisation test, Geneva legionellosis a scoped year-4 extension. The outcome is intentionally falsifiable: if literature-derived priors improve cold-start forecasts, the project establishes when and by how much; if not, or if harm cannot be detected early enough, a boundary condition for automated evidence-informed forecasting. Either way: a validated answer and an open framework. For event types whose models validate,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in advance across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but every recommended model is trained on years of local history.</w:t>
      </w:r>
    </w:p>
    <w:p>
      <w:pPr>
        <w:pStyle w:val="BodyText"/>
      </w:pPr>
      <w:r>
        <w:rPr>
          <w:bCs/>
          <w:b/>
        </w:rPr>
        <w:t xml:space="preserve">The cold-start problem is specifically a labelled-outcome problem.</w:t>
      </w:r>
      <w:r>
        <w:t xml:space="preserve"> </w:t>
      </w:r>
      <w:r>
        <w:t xml:space="preserve">At crisis onset, context variables abound but the outcome to be forecast does not, and abundance itself can mislead: Google Flu Trends overestimated influenza activity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are interested in state (routine, elevated, strained, critical) rather than only tomorrow's count. Latent-state representations are established in surveillance: Poisson hidden Markov models distinguish epidemic from non-epidemic periods [Le Strat 1999; Watkins 2009]; extreme-value methods have been applied to Swiss hospital visits [Coles 2001; Ranjbar 2022]. Here they serve one purpose: a latent ordinal state as the</w:t>
      </w:r>
      <w:r>
        <w:t xml:space="preserve"> </w:t>
      </w:r>
      <w:r>
        <w:rPr>
          <w:bCs/>
          <w:b/>
        </w:rPr>
        <w:t xml:space="preserve">common representation for testing evidence borrowing at crisis onset</w:t>
      </w:r>
      <w:r>
        <w:t xml:space="preserve">, with an extreme-value component for rare critical exceedances.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uses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a calibrated forecast is irrelevant if it changes no decision; decision-analytic methods evaluate predictions under explicit consequences [Vickers 2006]. 72–99% of reported clinical alarms have been false or non-actionable [Winters 2018];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All develop surveillance, forecasting and decision-support capability from local data; none has as a stated objective testing whether automatically synthesised external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p>
      <w:r>
        <w:pict>
          <v:rect style="width:0;height:1.5pt" o:hralign="center" o:hrstd="t" o:hr="t"/>
        </w:pic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modelling, extreme-value estimation,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same theme. I now</w:t>
      </w:r>
      <w:r>
        <w:t xml:space="preserve"> </w:t>
      </w:r>
      <w:r>
        <w:rPr>
          <w:bCs/>
          <w:b/>
        </w:rPr>
        <w:t xml:space="preserve">senior-author</w:t>
      </w:r>
      <w:r>
        <w:t xml:space="preserve"> </w:t>
      </w:r>
      <w:r>
        <w:t xml:space="preserve">that line (last author, [Ng'ambi 2026], accepted: machine-learning classification of</w:t>
      </w:r>
      <w:r>
        <w:t xml:space="preserve"> </w:t>
      </w:r>
      <w:r>
        <w:t xml:space="preserve">cardiovascular disease history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the open-access databases,</w:t>
      </w:r>
      <w:r>
        <w:t xml:space="preserve"> </w:t>
      </w:r>
      <w:r>
        <w:t xml:space="preserve">deduplication, corpus mapping, iterative relevance suggestion. I led its development with</w:t>
      </w:r>
      <w:r>
        <w:t xml:space="preserve"> </w:t>
      </w:r>
      <w:r>
        <w:rPr>
          <w:bCs/>
          <w:b/>
        </w:rPr>
        <w:t xml:space="preserve">Aziza Merzouki</w:t>
      </w:r>
      <w:r>
        <w:t xml:space="preserve"> </w:t>
      </w:r>
      <w:r>
        <w:t xml:space="preserve">(PhD, computer science) and secured</w:t>
      </w:r>
      <w:r>
        <w:t xml:space="preserve"> </w:t>
      </w:r>
      <w:r>
        <w:t xml:space="preserve">development 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used it in its published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a model specification (outcome, predictors,</w:t>
      </w:r>
      <w:r>
        <w:t xml:space="preserve"> </w:t>
      </w:r>
      <w:r>
        <w:t xml:space="preserve">lags, functional form) and compartmental components parameterised from extracted ranges,</w:t>
      </w:r>
      <w:r>
        <w:t xml:space="preserve"> </w:t>
      </w:r>
      <w:r>
        <w:t xml:space="preserve">each with the articles behind it. Per-scenario</w:t>
      </w:r>
      <w:r>
        <w:t xml:space="preserve"> </w:t>
      </w:r>
      <w:r>
        <w:rPr>
          <w:bCs/>
          <w:b/>
        </w:rPr>
        <w:t xml:space="preserve">living reviews re-run on schedule</w:t>
      </w:r>
      <w:r>
        <w:t xml:space="preserve">, with</w:t>
      </w:r>
      <w:r>
        <w:t xml:space="preserve"> </w:t>
      </w:r>
      <w:r>
        <w:t xml:space="preserve">what changed made visible: the evidence-to-model mechanism this proposal interrogates, in</w:t>
      </w:r>
      <w:r>
        <w:t xml:space="preserve"> </w:t>
      </w:r>
      <w:r>
        <w:t xml:space="preserve">prototype form.</w:t>
      </w:r>
    </w:p>
    <w:p>
      <w:pPr>
        <w:pStyle w:val="BodyText"/>
      </w:pPr>
      <w:r>
        <w:t xml:space="preserve">For GESICA I built the Geneva–Vaud–Neuchâtel data foundation:</w:t>
      </w:r>
      <w:r>
        <w:t xml:space="preserve"> </w:t>
      </w:r>
      <w:r>
        <w:rPr>
          <w:bCs/>
          <w:b/>
        </w:rPr>
        <w:t xml:space="preserve">77 notifiable diseases in</w:t>
      </w:r>
      <w:r>
        <w:rPr>
          <w:bCs/>
          <w:b/>
        </w:rPr>
        <w:t xml:space="preserve"> </w:t>
      </w:r>
      <w:r>
        <w:rPr>
          <w:bCs/>
          <w:b/>
        </w:rPr>
        <w:t xml:space="preserve">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It is why validation domains are chosen by</w:t>
      </w:r>
      <w:r>
        <w:t xml:space="preserve"> </w:t>
      </w:r>
      <w:r>
        <w:rPr>
          <w:bCs/>
          <w:b/>
        </w:rPr>
        <w:t xml:space="preserve">model class</w:t>
      </w:r>
      <w:r>
        <w:t xml:space="preserve">, and why the proposal</w:t>
      </w:r>
      <w:r>
        <w:t xml:space="preserve"> </w:t>
      </w:r>
      <w:r>
        <w:t xml:space="preserve">rests on a mapped, not assumed, data landscape.</w:t>
      </w:r>
    </w:p>
    <w:p>
      <w:pPr>
        <w:pStyle w:val="BodyText"/>
      </w:pPr>
      <w:r>
        <w:rPr>
          <w:bCs/>
          <w:b/>
        </w:rPr>
        <w:t xml:space="preserve">The prototype makes the research feasible rather than aspirational</w:t>
      </w:r>
      <w:r>
        <w:t xml:space="preserve">; the validated</w:t>
      </w:r>
      <w:r>
        <w:t xml:space="preserve"> </w:t>
      </w:r>
      <w:r>
        <w:t xml:space="preserve">instrument it becomes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linkage to my knowledge unique,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r>
        <w:pict>
          <v:rect style="width:0;height:1.5pt" o:hralign="center" o:hrstd="t" o:hr="t"/>
        </w:pic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drawing>
          <wp:inline>
            <wp:extent cx="5334000" cy="2707105"/>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2707105"/>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p>
      <w:pPr>
        <w:pStyle w:val="BodyText"/>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everything else is subordinate to it:</w:t>
      </w:r>
    </w:p>
    <w:tbl>
      <w:tblPr>
        <w:tblStyle w:val="Table"/>
        <w:tblW w:w="10466" w:type="dxa"/>
        <w:tblLook w:firstRow="1" w:lastRow="0" w:firstColumn="0" w:lastColumn="0" w:noHBand="0" w:noVBand="0" w:val="0020"/>
        <w:jc w:val="start"/>
        <w:tblLayout w:type="fixed"/>
      </w:tblPr>
      <w:tblGrid>
        <w:gridCol w:w="1560"/>
        <w:gridCol w:w="2784"/>
        <w:gridCol w:w="6122"/>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 evidence-derived priors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prior?</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Omissions dominate extraction errors [Shankar 2026] and shrink dispersion systematically; if uncorrectable, the project establishes a boundary condition. The evidence target spans four object classes (parameter values; predictor variables and lags; model forms; outcome and threshold definitions: T1.1); H1 is tested on the quantitative core.</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represents the critical tail; critical-slowing-down indicators are</w:t>
      </w:r>
      <w:r>
        <w:t xml:space="preserve"> </w:t>
      </w:r>
      <w:r>
        <w:rPr>
          <w:bCs/>
          <w:b/>
        </w:rPr>
        <w:t xml:space="preserve">supporting covariates</w:t>
      </w:r>
      <w:r>
        <w:t xml:space="preserve"> </w:t>
      </w:r>
      <w:r>
        <w:t xml:space="preserve">tested against level and trend.</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Evidence-derived priors improve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the second registration point, justified against the with-prior versus without-prior effect the study is powered to detect.</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(library, validity checks, selection rule: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A respiratory-positive, heat-negative result is a boundary condition on transportability.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p>
      <w:pPr>
        <w:pStyle w:val="FirstParagraph"/>
      </w:pPr>
      <w:r>
        <w:t xml:space="preserve">These are downstream tests of value; observation mode is an extension, not a prerequisite.</w:t>
      </w:r>
    </w:p>
    <w:bookmarkEnd w:id="40"/>
    <w:bookmarkStart w:id="41"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from my GESICA classification. Both arms</w:t>
      </w:r>
      <w:r>
        <w:t xml:space="preserve"> </w:t>
      </w:r>
      <w:r>
        <w:t xml:space="preserve">score</w:t>
      </w:r>
      <w:r>
        <w:t xml:space="preserve"> </w:t>
      </w:r>
      <w:r>
        <w:rPr>
          <w:bCs/>
          <w:b/>
        </w:rPr>
        <w:t xml:space="preserve">the same quantity, built the same way</w:t>
      </w:r>
      <w:r>
        <w:t xml:space="preserve">: daily emergency demand from the CASU-144</w:t>
      </w:r>
      <w:r>
        <w:t xml:space="preserve"> </w:t>
      </w:r>
      <w:r>
        <w:t xml:space="preserve">series, restricted to the cause classes the archetype's evidence base concerns (T3.0):</w:t>
      </w:r>
      <w:r>
        <w:t xml:space="preserve"> </w:t>
      </w:r>
      <w:r>
        <w:t xml:space="preserve">respiratory-related demand for epidemics;</w:t>
      </w:r>
      <w:r>
        <w:t xml:space="preserve"> </w:t>
      </w:r>
      <w:r>
        <w:rPr>
          <w:bCs/>
          <w:b/>
        </w:rPr>
        <w:t xml:space="preserve">heat-sensitive demand</w:t>
      </w:r>
      <w:r>
        <w:t xml:space="preserve"> </w:t>
      </w:r>
      <w:r>
        <w:t xml:space="preserve">for heat, since Swiss</w:t>
      </w:r>
      <w:r>
        <w:t xml:space="preserve"> </w:t>
      </w:r>
      <w:r>
        <w:t xml:space="preserve">evidence places heat effects in dehydration, renal and psychiatric admissions, with a weak</w:t>
      </w:r>
      <w:r>
        <w:t xml:space="preserve"> </w:t>
      </w:r>
      <w:r>
        <w:t xml:space="preserve">respiratory effect at older ages [Schulte 2024; Ragettli 2019]. Matching each arm's outcome to</w:t>
      </w:r>
      <w:r>
        <w:t xml:space="preserve"> </w:t>
      </w:r>
      <w:r>
        <w:t xml:space="preserve">its evidence base makes the generalisation test a test of borrowing, not of the outcome</w:t>
      </w:r>
      <w:r>
        <w:t xml:space="preserve"> </w:t>
      </w:r>
      <w:r>
        <w:t xml:space="preserve">definition.</w:t>
      </w:r>
    </w:p>
    <w:tbl>
      <w:tblPr>
        <w:tblStyle w:val="Table"/>
        <w:tblW w:w="10466" w:type="dxa"/>
        <w:tblLook w:firstRow="1" w:lastRow="0" w:firstColumn="0" w:lastColumn="0" w:noHBand="0" w:noVBand="0" w:val="0020"/>
        <w:jc w:val="start"/>
        <w:tblLayout w:type="fixed"/>
      </w:tblPr>
      <w:tblGrid>
        <w:gridCol w:w="1723"/>
        <w:gridCol w:w="2037"/>
        <w:gridCol w:w="2678"/>
        <w:gridCol w:w="4028"/>
      </w:tblGrid>
      <w:tr>
        <w:trPr>
          <w:tblHeader w:val="true"/>
        </w:trPr>
        <w:tc>
          <w:tcPr/>
          <w:p>
            <w:pPr>
              <w:pStyle w:val="Compact"/>
              <w:jc w:val="left"/>
            </w:pPr>
            <w:r>
              <w:t xml:space="preserve">Archetype</w:t>
            </w:r>
          </w:p>
        </w:tc>
        <w:tc>
          <w:tcPr/>
          <w:p>
            <w:pPr>
              <w:pStyle w:val="Compact"/>
              <w:jc w:val="left"/>
            </w:pPr>
            <w:r>
              <w:t xml:space="preserve">Role</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w:t>
            </w:r>
          </w:p>
        </w:tc>
        <w:tc>
          <w:tcPr/>
          <w:p>
            <w:pPr>
              <w:pStyle w:val="Compact"/>
              <w:jc w:val="left"/>
            </w:pPr>
            <w:r>
              <w:t xml:space="preserve">Transmissible, multi-wave, seasonal</w:t>
            </w:r>
          </w:p>
        </w:tc>
        <w:tc>
          <w:tcPr/>
          <w:p>
            <w:pPr>
              <w:pStyle w:val="Compact"/>
              <w:jc w:val="left"/>
            </w:pPr>
            <w:r>
              <w:t xml:space="preserve">Respiratory-related demand; COVID-19, influenza, RSV</w:t>
            </w:r>
          </w:p>
        </w:tc>
      </w:tr>
      <w:tr>
        <w:tc>
          <w:tcPr/>
          <w:p>
            <w:pPr>
              <w:pStyle w:val="Compact"/>
              <w:jc w:val="left"/>
            </w:pPr>
            <w:r>
              <w:rPr>
                <w:bCs/>
                <w:b/>
              </w:rPr>
              <w:t xml:space="preserve">Heatwave</w:t>
            </w:r>
          </w:p>
        </w:tc>
        <w:tc>
          <w:tcPr/>
          <w:p>
            <w:pPr>
              <w:pStyle w:val="Compact"/>
              <w:jc w:val="left"/>
            </w:pPr>
            <w:r>
              <w:t xml:space="preserve">Sequential generalisation</w:t>
            </w:r>
          </w:p>
        </w:tc>
        <w:tc>
          <w:tcPr/>
          <w:p>
            <w:pPr>
              <w:pStyle w:val="Compact"/>
              <w:jc w:val="left"/>
            </w:pPr>
            <w:r>
              <w:t xml:space="preserve">Environmental, short, sharply peaked</w:t>
            </w:r>
          </w:p>
        </w:tc>
        <w:tc>
          <w:tcPr/>
          <w:p>
            <w:pPr>
              <w:pStyle w:val="Compact"/>
              <w:jc w:val="left"/>
            </w:pPr>
            <w:r>
              <w:t xml:space="preserve">Heat-sensitive demand, same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environmental</w:t>
            </w:r>
          </w:p>
        </w:tc>
        <w:tc>
          <w:tcPr/>
          <w:p>
            <w:pPr>
              <w:pStyle w:val="Compact"/>
              <w:jc w:val="left"/>
            </w:pPr>
            <w:r>
              <w:t xml:space="preserve">Geneva legionellosis linked to installations</w:t>
            </w:r>
          </w:p>
        </w:tc>
      </w:tr>
    </w:tbl>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clinically steering alarm system by month 48: the dashboard runs strictly in observation mode.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T3.3's library.</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adapted to the local setting. Classes 2 to 4 carry provenance and certainty grades;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error is characterised separately for T3.2's faster secondary sources.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Manual extraction is expensive; 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w:t>
      </w:r>
      <w:r>
        <w:t xml:space="preserve"> </w:t>
      </w:r>
      <w:r>
        <w:rPr>
          <w:rStyle w:val="VerbatimChar"/>
        </w:rPr>
        <w:t xml:space="preserve">S(t) ∈ {routine, elevated, strained, critical}</w:t>
      </w:r>
      <w:r>
        <w:t xml:space="preserve"> </w:t>
      </w:r>
      <w:r>
        <w:t xml:space="preserve">observed through emergency calls, ED presentations and ICU occupancy; pre-specified weather, calendar and epidemic covariates; series-specific observation models sharing the state. Before real-data fitting: simulation-based identifiability and recovery; ordering constraints resolve label switching; if separation is insufficient, the fallback is an ordinal state-space formulation; the criterion is recovery of states and transitions, not visual fit.</w:t>
      </w:r>
      <w:r>
        <w:t xml:space="preserve"> </w:t>
      </w:r>
      <w:r>
        <w:rPr>
          <w:bCs/>
          <w:b/>
        </w:rPr>
        <w:t xml:space="preserve">Provisional state anchors</w:t>
      </w:r>
      <w:r>
        <w:t xml:space="preserve">, fixed at registration and refined (not replaced) by T4.1's elicitation:</w:t>
      </w:r>
      <w:r>
        <w:t xml:space="preserve"> </w:t>
      </w:r>
      <w:r>
        <w:rPr>
          <w:bCs/>
          <w:b/>
        </w:rPr>
        <w:t xml:space="preserve">routine</w:t>
      </w:r>
      <w:r>
        <w:t xml:space="preserve"> </w:t>
      </w:r>
      <w:r>
        <w:t xml:space="preserve">below the 75th percentile of the seasonal baseline demand distribution;</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above the 90th, or sustained capacity pressure (ICU occupancy above 85%, ED boarding above its seasonal 90th percentile);</w:t>
      </w:r>
      <w:r>
        <w:t xml:space="preserve"> </w:t>
      </w:r>
      <w:r>
        <w:rPr>
          <w:bCs/>
          <w:b/>
        </w:rPr>
        <w:t xml:space="preserve">critical</w:t>
      </w:r>
      <w:r>
        <w:t xml:space="preserve"> </w:t>
      </w:r>
      <w:r>
        <w:t xml:space="preserve">above the 97.5th percentile, or capacity saturation.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a supporting representation,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transition/recovery characteristics); compare weakly informative, fixed evidence-derived and adaptive robust borrowing. The adaptive specification is a robust mixture of an evidence-derived and a weakly informative component, prior–data conflict recorded explicitly.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every model re-estimated at its inputs' native cadence (daily demand, weekly surveillance), with versioned automated re-fitting; and</w:t>
      </w:r>
      <w:r>
        <w:t xml:space="preserve"> </w:t>
      </w:r>
      <w:r>
        <w:rPr>
          <w:bCs/>
          <w:b/>
        </w:rPr>
        <w:t xml:space="preserve">assumption and validity diagnostics</w:t>
      </w:r>
      <w:r>
        <w:t xml:space="preserve"> </w:t>
      </w:r>
      <w:r>
        <w:t xml:space="preserve">on every fit (residual structure, dispersion, calibration) aligned with prediction-model standards [Collins 2015]: a model failing its checks is excluded by pre-registered rules, never silently retained. Release a documented reference implementation integrated with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rather than tuning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in response to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"respiratory-related" is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 the hierarchy governs only which series H3a is scored on.</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extension to Vaud and Neuchâtel via the CHUV-operated 144 is a pre-specified external validation if access is granted.</w:t>
      </w:r>
    </w:p>
    <w:p>
      <w:pPr>
        <w:pStyle w:val="BodyText"/>
      </w:pPr>
      <w:r>
        <w:rPr>
          <w:bCs/>
          <w:b/>
        </w:rPr>
        <w:t xml:space="preserve">Data-access gate.</w:t>
      </w:r>
      <w:r>
        <w:t xml:space="preserve"> </w:t>
      </w:r>
      <w:r>
        <w:t xml:space="preserve">Criteria fixed in advance for</w:t>
      </w:r>
      <w:r>
        <w:t xml:space="preserve"> </w:t>
      </w:r>
      <w:r>
        <w:rPr>
          <w:bCs/>
          <w:b/>
        </w:rPr>
        <w:t xml:space="preserve">historical depth, temporal resolution, reporting latency and completeness</w:t>
      </w:r>
      <w:r>
        <w:t xml:space="preserve">; the primary outcome is selected at a pre-specified checkpoint (month 12), on those criteria alone.</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r>
        <w:t xml:space="preserve">: a winter with concurrent influenza and RSV is one surge, not two.</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but before any evaluation runs, by the pre-declared selection rules of T3.3.</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truncation/nowcasting so incomplete recent reporting is not mistaken for falling demand [Höhle 2014; McGough 2020]; degraded reporting under strain could itself mimic an early-warning signal.</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are statements about</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Disease Outbreak News, ECDC rapid risk assessments) enters as a</w:t>
      </w:r>
      <w:r>
        <w:t xml:space="preserve"> </w:t>
      </w:r>
      <w:r>
        <w:rPr>
          <w:bCs/>
          <w:b/>
        </w:rPr>
        <w:t xml:space="preserve">pre-specified secondary prior variant</w:t>
      </w:r>
      <w:r>
        <w:t xml:space="preserve">, through the same extraction and error pipeline, outside the confirmatory contrast: H3a tests literature borrowing, not dynamic evidence fusion.</w:t>
      </w:r>
      <w:r>
        <w:t xml:space="preserve"> </w:t>
      </w:r>
      <w:r>
        <w:rPr>
          <w:bCs/>
          <w:b/>
        </w:rPr>
        <w:t xml:space="preserve">Text describing the local event is excluded from any prior</w:t>
      </w:r>
      <w:r>
        <w:t xml:space="preserve">: it is a noisy measurement of the outcome H3a is scored against. Every input carries an index timestamp enforcing the rolling cut-off; origins re-run automatically through the T2.5 layer, each input at its native cadence. Forecast horizons 7, 14 and 28 days, the archetype-specific primary horizon fixed at the second registration point. The cold-start window is defined by elapsed local outcome observations</w:t>
      </w:r>
      <w:r>
        <w:t xml:space="preserve"> </w:t>
      </w:r>
      <w:r>
        <w:rPr>
          <w:bCs/>
          <w:b/>
        </w:rPr>
        <w:t xml:space="preserve">after a pre-defined real-time onset criterion</w:t>
      </w:r>
      <w:r>
        <w:t xml:space="preserve">; the onset rule may use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operational implementations [Salmon 2016]); penalised and gradient-boosted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w:t>
      </w:r>
      <w:r>
        <w:t xml:space="preserve"> </w:t>
      </w:r>
      <w:r>
        <w:t xml:space="preserve">At each origin every admissible candidate runs automatically, passes the T2.5 assumption and validity checks, and is scored on pre-specified metrics (CRPS, log score, calibration); each arm's</w:t>
      </w:r>
      <w:r>
        <w:t xml:space="preserve"> </w:t>
      </w:r>
      <w:r>
        <w:rPr>
          <w:bCs/>
          <w:b/>
        </w:rPr>
        <w:t xml:space="preserve">champion</w:t>
      </w:r>
      <w:r>
        <w:t xml:space="preserve"> </w:t>
      </w:r>
      <w:r>
        <w:t xml:space="preserve">is selected by a registered rule, blind to the other arm. Identical machinery in both arms means the contrast isolates the evidence, not the selector; which family wins, where and when, is itself a result.</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(between library members, between borrowing strategies) are secondary.</w:t>
      </w:r>
      <w:r>
        <w:t xml:space="preserve"> </w:t>
      </w:r>
      <w:r>
        <w:rPr>
          <w:bCs/>
          <w:b/>
        </w:rPr>
        <w:t xml:space="preserve">The local-only arm is pinned in the registration</w:t>
      </w:r>
      <w:r>
        <w:t xml:space="preserve">, its regime-model priors carrying a pre-declared band of vaguer and tighter alternatives reported as a sensitivity analysis: the comparator cannot be tuned into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The unit of inference is the</w:t>
      </w:r>
      <w:r>
        <w:t xml:space="preserve"> </w:t>
      </w:r>
      <w:r>
        <w:rPr>
          <w:bCs/>
          <w:b/>
        </w:rPr>
        <w:t xml:space="preserve">episode</w:t>
      </w:r>
      <w:r>
        <w:t xml:space="preserve"> </w:t>
      </w:r>
      <w:r>
        <w:t xml:space="preserve">(origins are repeated measures within it); eligible episodes are few (13–14 respiratory candidates before screening), so inference is by</w:t>
      </w:r>
      <w:r>
        <w:t xml:space="preserve"> </w:t>
      </w:r>
      <w:r>
        <w:rPr>
          <w:bCs/>
          <w:b/>
        </w:rPr>
        <w:t xml:space="preserve">paired permutation over episodes</w:t>
      </w:r>
      <w:r>
        <w:t xml:space="preserve">, block bootstrap alongside,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and heterogeneity),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grid value meeting the operating-characteristic criterion, Δ set by a pre-declared rule on the simulated effect distribution, both chosen by algorithms blind to forecast performance.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as a stress test. The safety question: is harmful borrowing detectable early enough for adaptive discounting to limit its impact?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not required for the central conclusion).</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If clinical data are delayed, H3a remains testable on open federal/cantonal and European surveillance series under the same rolling-origin restriction; §2.4 states the cost.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event types whose models pass T3.3 validation and T4.2's decision-value check, and subject to authorisation, the framework then runs as a</w:t>
      </w:r>
      <w:r>
        <w:t xml:space="preserve"> </w:t>
      </w:r>
      <w:r>
        <w:rPr>
          <w:bCs/>
          <w:b/>
        </w:rPr>
        <w:t xml:space="preserve">daily observation-mode dashboard</w:t>
      </w:r>
      <w:r>
        <w:t xml:space="preserve"> </w:t>
      </w:r>
      <w:r>
        <w:t xml:space="preserve">with the partner services (CASU-144 regulation, HUG emergency department,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re-runs the per-scenario reviews [Elliott 2014] and flags new publications that would change a parameter value, a variable set, an outcome threshold or the recommended model; proposed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a new CCER approval with me as applicant; benchmark and software released openly, synthetic equivalents where possible.</w:t>
      </w:r>
    </w:p>
    <w:p>
      <w:pPr>
        <w:pStyle w:val="BodyText"/>
      </w:pPr>
      <w:r>
        <w:rPr>
          <w:bCs/>
          <w:b/>
        </w:rPr>
        <w:t xml:space="preserve">Expected outputs.</w:t>
      </w:r>
      <w:r>
        <w:t xml:space="preserve"> </w:t>
      </w:r>
      <w:r>
        <w:t xml:space="preserve">None of the explicit fallbacks above converts an inconclusive analysis into a success claim. Four to six papers and two durable open resources;</w:t>
      </w:r>
      <w:r>
        <w:t xml:space="preserve"> </w:t>
      </w:r>
      <w:r>
        <w:rPr>
          <w:bCs/>
          <w:b/>
        </w:rPr>
        <w:t xml:space="preserve">I lead the methodological, benchmark and integrative outputs.</w:t>
      </w:r>
    </w:p>
    <w:p>
      <w:r>
        <w:pict>
          <v:rect style="width:0;height:1.5pt" o:hralign="center" o:hrstd="t" o:hr="t"/>
        </w:pic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collaboration with</w:t>
      </w:r>
      <w:r>
        <w:t xml:space="preserve"> </w:t>
      </w:r>
      <w:r>
        <w:rPr>
          <w:bCs/>
          <w:b/>
        </w:rPr>
        <w:t xml:space="preserve">HUG emergency medicine</w:t>
      </w:r>
      <w:r>
        <w:t xml:space="preserve"> </w:t>
      </w:r>
      <w:r>
        <w:t xml:space="preserve">(Prof. Thibaut Desmettre; Dr Robert Larribau, médecin responsable CASU-144).</w:t>
      </w:r>
    </w:p>
    <w:p>
      <w:pPr>
        <w:pStyle w:val="BodyText"/>
      </w:pPr>
      <w:r>
        <w:rPr>
          <w:bCs/>
          <w:b/>
        </w:rPr>
        <w:t xml:space="preserve">Institute of Global Health:</w:t>
      </w:r>
      <w:r>
        <w:t xml:space="preserve"> </w:t>
      </w:r>
      <w:r>
        <w:t xml:space="preserve">epidemiology, infectious-disease modelling and automated evidence extraction in one institute; this is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WP1 needs; through GESICA I already work with the emergency-medicine partners, and the AI-in-EMS review [Edjinedja 2026] evidences the functioning collaboration.</w:t>
      </w:r>
    </w:p>
    <w:p>
      <w:pPr>
        <w:pStyle w:val="BodyText"/>
      </w:pPr>
      <w:r>
        <w:rPr>
          <w:bCs/>
          <w:b/>
        </w:rPr>
        <w:t xml:space="preserve">Existing infrastructure.</w:t>
      </w:r>
      <w:r>
        <w:t xml:space="preserve"> </w:t>
      </w:r>
      <w:r>
        <w:t xml:space="preserve">LiteRev-Evidence is a prototype (live federated search of the open literature, screening, living reviews, certainty-graded extraction with provenance, pooling into parameter distributions, candidate variables and model specifications, weather and surveillance connectors);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(Baobab/Yggdrasil) and the University's secure environment for clinical data.</w:t>
      </w:r>
    </w:p>
    <w:p>
      <w:pPr>
        <w:pStyle w:val="BodyText"/>
      </w:pPr>
      <w:r>
        <w:rPr>
          <w:bCs/>
          <w:b/>
        </w:rPr>
        <w:t xml:space="preserve">Commitments, by status.</w:t>
      </w:r>
    </w:p>
    <w:tbl>
      <w:tblPr>
        <w:tblStyle w:val="Table"/>
        <w:tblW w:w="10466" w:type="dxa"/>
        <w:tblLook w:firstRow="1" w:lastRow="0" w:firstColumn="0" w:lastColumn="0" w:noHBand="0" w:noVBand="0" w:val="0020"/>
        <w:jc w:val="start"/>
        <w:tblLayout w:type="fixed"/>
      </w:tblPr>
      <w:tblGrid>
        <w:gridCol w:w="2917"/>
        <w:gridCol w:w="1560"/>
        <w:gridCol w:w="5989"/>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Letter requested. Continuous, daily, near real-time; archive depth to confirm;</w:t>
            </w:r>
            <w:r>
              <w:t xml:space="preserve"> </w:t>
            </w:r>
            <w:r>
              <w:rPr>
                <w:bCs/>
                <w:b/>
              </w:rPr>
              <w:t xml:space="preserve">HUG access established within GESICA</w:t>
            </w:r>
            <w:r>
              <w:t xml:space="preserve"> </w:t>
            </w:r>
            <w:r>
              <w:t xml:space="preserve">(voice excluded); own agreement + CCER required</w:t>
            </w:r>
          </w:p>
        </w:tc>
      </w:tr>
      <w:tr>
        <w:tc>
          <w:tcPr/>
          <w:p>
            <w:pPr>
              <w:pStyle w:val="Compact"/>
              <w:jc w:val="left"/>
            </w:pPr>
            <w:r>
              <w:t xml:space="preserve">ED presentations + ICU occupancy, additional channels</w:t>
            </w:r>
          </w:p>
        </w:tc>
        <w:tc>
          <w:tcPr/>
          <w:p>
            <w:pPr>
              <w:pStyle w:val="Compact"/>
              <w:jc w:val="left"/>
            </w:pPr>
            <w:r>
              <w:t xml:space="preserve">Requested</w:t>
            </w:r>
          </w:p>
        </w:tc>
        <w:tc>
          <w:tcPr/>
          <w:p>
            <w:pPr>
              <w:pStyle w:val="Compact"/>
              <w:jc w:val="left"/>
            </w:pPr>
            <w:r>
              <w:t xml:space="preserve">Letters requested; daily depth to confirm; ICU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key remaining feasibility items.</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(2026 rules); support personnel can.</w:t>
      </w:r>
    </w:p>
    <w:tbl>
      <w:tblPr>
        <w:tblStyle w:val="Table"/>
        <w:tblW w:w="10466" w:type="dxa"/>
        <w:tblLook w:firstRow="1" w:lastRow="0" w:firstColumn="0" w:lastColumn="0" w:noHBand="0" w:noVBand="0" w:val="0020"/>
        <w:jc w:val="start"/>
        <w:tblLayout w:type="fixed"/>
      </w:tblPr>
      <w:tblGrid>
        <w:gridCol w:w="4338"/>
        <w:gridCol w:w="6128"/>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Results presentation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the grant starts.</w:t>
      </w:r>
      <w:r>
        <w:t xml:space="preserve"> </w:t>
      </w:r>
      <w:r>
        <w:t xml:space="preserve">Advanced before month 1, outside grant funding:</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prototype already exists</w:t>
      </w:r>
      <w:r>
        <w:t xml:space="preserve">) and on the fallbacks, each leaving the central question answerable with the narrowing stated.</w:t>
      </w:r>
    </w:p>
    <w:p>
      <w:r>
        <w:pict>
          <v:rect style="width:0;height:1.5pt" o:hralign="center" o:hrstd="t" o:hr="t"/>
        </w:pict>
      </w:r>
    </w:p>
    <w:bookmarkEnd w:id="68"/>
    <w:bookmarkEnd w:id="69"/>
    <w:bookmarkStart w:id="74" w:name="X10aa73bd92b9e3b0d0e8f9aceaa1d28354da000"/>
    <w:p>
      <w:pPr>
        <w:pStyle w:val="Heading2"/>
      </w:pPr>
      <w:r>
        <w:t xml:space="preserve">2.4 Schedule and milestones</w:t>
      </w:r>
    </w:p>
    <w:p>
      <w:pPr>
        <w:pStyle w:val="FirstParagraph"/>
      </w:pPr>
      <w:r>
        <w:drawing>
          <wp:inline>
            <wp:extent cx="5334000" cy="2901696"/>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2901696"/>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p>
      <w:pPr>
        <w:pStyle w:val="BodyText"/>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three fully specified tasks:</w:t>
      </w:r>
      <w:r>
        <w:t xml:space="preserve"> </w:t>
      </w:r>
      <w:r>
        <w:t xml:space="preserve">T1.2's second independent extractor, the T3.1–T3.2 harmonisation and automated rolling-origin pipeline,</w:t>
      </w:r>
      <w:r>
        <w:t xml:space="preserve"> </w:t>
      </w:r>
      <w:r>
        <w:t xml:space="preserve">and the reproducibility engineering behind D1.1 and D3.1. No other personnel are requested.</w:t>
      </w:r>
    </w:p>
    <w:p>
      <w:pPr>
        <w:pStyle w:val="BodyText"/>
      </w:pPr>
      <w:r>
        <w:t xml:space="preserve">The design avoids a serial chain: WP2 falls back to weakly informative priors if WP1 finds extraction inadequate, WP3 to open surveillance data if operational access is delayed, and WP4's decision analysis is retrospective.</w:t>
      </w:r>
      <w:r>
        <w:t xml:space="preserve"> </w:t>
      </w:r>
      <w:r>
        <w:rPr>
          <w:bCs/>
          <w:b/>
        </w:rPr>
        <w:t xml:space="preserve">What the data fallback costs:</w:t>
      </w:r>
      <w:r>
        <w:t xml:space="preserve"> </w:t>
      </w:r>
      <w:r>
        <w:t xml:space="preserve">Open surveillance series are not emergency-system demand. Falling back</w:t>
      </w:r>
      <w:r>
        <w:t xml:space="preserve"> </w:t>
      </w:r>
      <w:r>
        <w:rPr>
          <w:bCs/>
          <w:b/>
        </w:rPr>
        <w:t xml:space="preserve">preserves the methodological test but narrows the outcome claim</w:t>
      </w:r>
      <w:r>
        <w:t xml:space="preserve"> </w:t>
      </w:r>
      <w:r>
        <w:t xml:space="preserve">to routinely observed crisis indicators, and turns most of WP4 illustrative; hence the agreements are a pre-award action, not a later risk.</w:t>
      </w:r>
    </w:p>
    <w:tbl>
      <w:tblPr>
        <w:tblStyle w:val="Table"/>
        <w:tblW w:w="10466" w:type="dxa"/>
        <w:tblLook w:firstRow="1" w:lastRow="0" w:firstColumn="0" w:lastColumn="0" w:noHBand="0" w:noVBand="0" w:val="0020"/>
        <w:jc w:val="start"/>
        <w:tblLayout w:type="fixed"/>
      </w:tblPr>
      <w:tblGrid>
        <w:gridCol w:w="1560"/>
        <w:gridCol w:w="1560"/>
        <w:gridCol w:w="734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Retrospective information set harmonised, or open-data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validation; observation-mode dashboard running where authorised</w:t>
            </w:r>
          </w:p>
        </w:tc>
      </w:tr>
    </w:tbl>
    <w:p>
      <w:r>
        <w:pict>
          <v:rect style="width:0;height:1.5pt" o:hralign="center" o:hrstd="t" o:hr="t"/>
        </w:pict>
      </w:r>
    </w:p>
    <w:bookmarkEnd w:id="74"/>
    <w:bookmarkStart w:id="75" w:name="Xfa74544992b8a2e9fab533cfaf936bad7ec032c"/>
    <w:p>
      <w:pPr>
        <w:pStyle w:val="Heading2"/>
      </w:pPr>
      <w:r>
        <w:t xml:space="preserve">2.5 Relevance and impact</w:t>
      </w:r>
    </w:p>
    <w:p>
      <w:pPr>
        <w:pStyle w:val="FirstParagraph"/>
      </w:pPr>
      <w:r>
        <w:t xml:space="preserve">The result is useful either way: a principled, auditable way to borrow if priors help; a stated boundary if not.</w:t>
      </w:r>
    </w:p>
    <w:p>
      <w:pPr>
        <w:pStyle w:val="BodyText"/>
      </w:pPr>
      <w:r>
        <w:rPr>
          <w:bCs/>
          <w:b/>
        </w:rPr>
        <w:t xml:space="preserve">A null result changes identifiable practice.</w:t>
      </w:r>
      <w:r>
        <w:t xml:space="preserve"> </w:t>
      </w:r>
      <w:r>
        <w:t xml:space="preserve">Modellers routinely seed early-crisis models with parameters lifted from a few studies, and evidence-synthesis platforms (including my own) assume pooled estimates are reusable as priors; a calibrated null tells those groups the practice buys nothing where it is most used.</w:t>
      </w:r>
    </w:p>
    <w:p>
      <w:pPr>
        <w:pStyle w:val="BodyText"/>
      </w:pPr>
      <w:r>
        <w:rPr>
          <w:bCs/>
          <w:b/>
        </w:rPr>
        <w:t xml:space="preserve">Form of publication.</w:t>
      </w:r>
      <w:r>
        <w:t xml:space="preserve"> </w:t>
      </w:r>
      <w:r>
        <w:t xml:space="preserve">Peer-reviewed articles, preprints on submission, open access throughout; the benchmark, prior library and evaluation code as</w:t>
      </w:r>
      <w:r>
        <w:t xml:space="preserve"> </w:t>
      </w:r>
      <w:r>
        <w:rPr>
          <w:bCs/>
          <w:b/>
        </w:rPr>
        <w:t xml:space="preserve">citable, versioned open resources</w:t>
      </w:r>
      <w:r>
        <w:t xml:space="preserve">; results returned to the operational partners.</w:t>
      </w:r>
    </w:p>
    <w:p>
      <w:pPr>
        <w:pStyle w:val="BodyText"/>
      </w:pPr>
      <w:r>
        <w:t xml:space="preserve">Three durable resources remain, subordinate to the central question:</w:t>
      </w:r>
      <w:r>
        <w:t xml:space="preserve"> </w:t>
      </w:r>
      <w:r>
        <w:rPr>
          <w:bCs/>
          <w:b/>
        </w:rPr>
        <w:t xml:space="preserve">a quantitative extraction benchmark</w:t>
      </w:r>
      <w:r>
        <w:t xml:space="preserve">;</w:t>
      </w:r>
      <w:r>
        <w:t xml:space="preserve"> </w:t>
      </w:r>
      <w:r>
        <w:rPr>
          <w:bCs/>
          <w:b/>
        </w:rPr>
        <w:t xml:space="preserve">an open reference framework</w:t>
      </w:r>
      <w:r>
        <w:t xml:space="preserve"> </w:t>
      </w:r>
      <w:r>
        <w:t xml:space="preserve">for evidence-informed latent-state forecasting;</w:t>
      </w:r>
      <w:r>
        <w:t xml:space="preserve"> </w:t>
      </w:r>
      <w:r>
        <w:rPr>
          <w:bCs/>
          <w:b/>
        </w:rPr>
        <w:t xml:space="preserve">a 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provide a reliable base; the project quantifies whether external evidence improves those decisions, and with how much residual uncertainty. Geneva anchors it; the contrasting domains show what transfers.</w:t>
      </w:r>
    </w:p>
    <w:p>
      <w:pPr>
        <w:pStyle w:val="BodyText"/>
      </w:pPr>
      <w:r>
        <w:rPr>
          <w:bCs/>
          <w:b/>
        </w:rPr>
        <w:t xml:space="preserve">Where this points operationally.</w:t>
      </w:r>
      <w:r>
        <w:t xml:space="preserve"> </w:t>
      </w:r>
      <w:r>
        <w:t xml:space="preserve">Each validated event type leaves a registered, automatically re-validated forecasting configuration and a daily observation-mode dashboard in the hands of the services that would use it. Extending that nucleus into a multi-crisis surveillance platform for clinicians and regulators, event type by event type as models validate, is the explicit post-grant pathway; this project supplies the validated core and the update rules that make such a platform trustworthy.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have not had is a research agenda that is mine to set. None of the programmes below has this project's objective.</w:t>
      </w:r>
    </w:p>
    <w:tbl>
      <w:tblPr>
        <w:tblStyle w:val="Table"/>
        <w:tblW w:w="10466" w:type="dxa"/>
        <w:tblLook w:firstRow="1" w:lastRow="0" w:firstColumn="0" w:lastColumn="0" w:noHBand="0" w:noVBand="0" w:val="0020"/>
        <w:jc w:val="start"/>
        <w:tblLayout w:type="fixed"/>
      </w:tblPr>
      <w:tblGrid>
        <w:gridCol w:w="2090"/>
        <w:gridCol w:w="3661"/>
        <w:gridCol w:w="1560"/>
        <w:gridCol w:w="3155"/>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evidence's inferential value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Data/scientific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evidence-derived priors help cold-start forecasting, and when they harm</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but nothing established whether those priors improved forecasting in a new setting. The methodological core came from fifteen years of quantitative finance, inherited from no group I have worked in; the platform is UNIGE intellectual property developed under my scientific direction.</w:t>
      </w:r>
    </w:p>
    <w:p>
      <w:pPr>
        <w:pStyle w:val="BodyText"/>
      </w:pPr>
      <w:r>
        <w:rPr>
          <w:bCs/>
          <w:b/>
        </w:rPr>
        <w:t xml:space="preserve">Collaborators and their roles.</w:t>
      </w:r>
      <w:r>
        <w:t xml:space="preserve"> </w:t>
      </w:r>
      <w:r>
        <w:t xml:space="preserve">Prof. Olivia Keiser leads the group in which I developed LiteRev, the MAS on which I teach, the legionellosis study and GeoAI4EI; she co-authors my doctoral and post-doctoral output (the expected profile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Hosted by the</w:t>
      </w:r>
      <w:r>
        <w:t xml:space="preserve"> </w:t>
      </w:r>
      <w:r>
        <w:rPr>
          <w:bCs/>
          <w:b/>
        </w:rPr>
        <w:t xml:space="preserve">Institute of Global Health</w:t>
      </w:r>
      <w:r>
        <w:t xml:space="preserve">, I will lead an independent programme alongside the Institute's groups rather than inside one; the PI's independence guarantees are documented in the required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I intend to hold a validated answer, two open resources the field can build on, and a first-author methodological record in my own name: the basis for a group-leadership position or professorship. The follow-on programme is §2.5's platform pathway; this project supplies its validated core. My research time is currently divided across four collaborative programmes; Ambizione consolidates it into one.</w:t>
      </w:r>
    </w:p>
    <w:p>
      <w:r>
        <w:pict>
          <v:rect style="width:0;height:1.5pt" o:hralign="center" o:hrstd="t" o:hr="t"/>
        </w:pic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of more than 50 authors;</w:t>
      </w:r>
      <w:r>
        <w:t xml:space="preserve"> </w:t>
      </w:r>
      <w:r>
        <w:t xml:space="preserve">shortening permitted by the guidelines).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of more than 50 authors;</w:t>
      </w:r>
      <w:r>
        <w:t xml:space="preserve"> </w:t>
      </w:r>
      <w:r>
        <w:t xml:space="preserve">shortening permitted by the guidelines).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[Collins 2015]</w:t>
      </w:r>
      <w:r>
        <w:t xml:space="preserve"> </w:t>
      </w:r>
      <w:r>
        <w:t xml:space="preserve">Collins GS, Reitsma JB, Altman DG, Moons KGM. Transparent reporting of a</w:t>
      </w:r>
      <w:r>
        <w:t xml:space="preserve"> </w:t>
      </w:r>
      <w:r>
        <w:t xml:space="preserve">multivariable prediction model for individual prognosis or diagnosis (TRIPOD): the TRIPOD</w:t>
      </w:r>
      <w:r>
        <w:t xml:space="preserve"> </w:t>
      </w:r>
      <w:r>
        <w:t xml:space="preserve">statement.</w:t>
      </w:r>
      <w:r>
        <w:t xml:space="preserve"> </w:t>
      </w:r>
      <w:r>
        <w:rPr>
          <w:iCs/>
          <w:i/>
        </w:rPr>
        <w:t xml:space="preserve">BMJ</w:t>
      </w:r>
      <w:r>
        <w:t xml:space="preserve"> </w:t>
      </w:r>
      <w:r>
        <w:t xml:space="preserve">2015;350:g7594. doi:10.1136/bmj.g7594</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13"/>
        </w:numPr>
        <w:pStyle w:val="Compact"/>
      </w:pPr>
      <w:r>
        <w:rPr>
          <w:bCs/>
          <w:b/>
        </w:rPr>
        <w:t xml:space="preserve">[Winters 2018]</w:t>
      </w:r>
      <w:r>
        <w:t xml:space="preserve"> </w:t>
      </w:r>
      <w:r>
        <w:t xml:space="preserve">Winters BD, Cvach MM, Bonafide CP, Hu X, Konkani A, O'Connor MF,</w:t>
      </w:r>
      <w:r>
        <w:t xml:space="preserve"> </w:t>
      </w:r>
      <w:r>
        <w:t xml:space="preserve">Rothschild JM, Selby NM, Pelter MM, McLean B, Kane-Gill SL.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Critical Care Medicine</w:t>
      </w:r>
      <w:r>
        <w:t xml:space="preserve"> </w:t>
      </w:r>
      <w:r>
        <w:t xml:space="preserve">2018;46(1):130–137.</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Difference</w:t>
      </w:r>
      <w:r>
        <w:t xml:space="preserve"> </w:t>
      </w:r>
      <w:r>
        <w:t xml:space="preserve">in clinical severity between Delta variant and Omicron sub-lineages in a Swiss tertiary</w:t>
      </w:r>
      <w:r>
        <w:t xml:space="preserve"> </w:t>
      </w:r>
      <w:r>
        <w:t xml:space="preserve">center.</w:t>
      </w:r>
      <w:r>
        <w:t xml:space="preserve"> </w:t>
      </w:r>
      <w:r>
        <w:rPr>
          <w:iCs/>
          <w:i/>
        </w:rPr>
        <w:t xml:space="preserve">CMI Communications</w:t>
      </w:r>
      <w:r>
        <w:t xml:space="preserve"> </w:t>
      </w:r>
      <w:r>
        <w:t xml:space="preserve">2024.</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680" w:right="720" w:bottom="680" w:left="72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pPr>
    <w:rPr>
      <w:sz w:val="20"/>
      <w:szCs w:val="20"/>
    </w:rPr>
  </w:style>
  <w:style w:styleId="BodyText" w:type="paragraph">
    <w:name w:val="Body Text"/>
    <w:basedOn w:val="Normal"/>
    <w:link w:val="BodyTextChar"/>
    <w:pPr>
      <w:spacing w:after="20" w:before="0" w:line="360" w:lineRule="auto"/>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pPr>
  </w:style>
  <w:style w:customStyle="1" w:styleId="Compact" w:type="paragraph">
    <w:name w:val="Compact"/>
    <w:basedOn w:val="BodyText"/>
    <w:qFormat/>
    <w:pPr>
      <w:spacing w:after="20" w:before="0" w:line="360" w:lineRule="auto"/>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2026-10-07T09:06:04Z</dcterms:created>
  <dcterms:modified xsi:type="dcterms:W3CDTF">2026-10-07T09:06:04Z</dcterms:modified>
</cp:coreProperties>
</file>

<file path=docProps/custom.xml><?xml version="1.0" encoding="utf-8"?>
<Properties xmlns="http://schemas.openxmlformats.org/officeDocument/2006/custom-properties" xmlns:vt="http://schemas.openxmlformats.org/officeDocument/2006/docPropsVTypes"/>
</file>