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none: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for epidemiological crises) through an automated engine that checks each model's assumptions, scores it on established metrics, and selects each arm's champion under rules fixed in advance. One contrast defines the confirmatory family: the evidence-informed against the local-only champion, tested on respiratory episodes and, only if that test passes, repeated on heat as the sequential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and where authorised,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future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every recommended model is trained on years of local history.</w:t>
      </w:r>
    </w:p>
    <w:p>
      <w:pPr>
        <w:pStyle w:val="BodyText"/>
      </w:pPr>
      <w:r>
        <w:rPr>
          <w:bCs/>
          <w:b/>
        </w:rPr>
        <w:t xml:space="preserve">The cold-start problem is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in time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to my knowledge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often need an interpretable escalation state (routine, elevated, strained, critical), not only tomorrow's count. Latent-state representations are established in surveillance: Poisson hidden Markov models distinguish epidemic from non-epidemic periods [Le Strat 1999; Watkins 2009]; extreme-value methods frame rare critical exceedances [Coles 2001], applied to Swiss hospital congestion [Ranjbar 2022]. Here they serve one purpose: a latent ordinal state as the</w:t>
      </w:r>
      <w:r>
        <w:t xml:space="preserve"> </w:t>
      </w:r>
      <w:r>
        <w:rPr>
          <w:bCs/>
          <w:b/>
        </w:rPr>
        <w:t xml:space="preserve">common representation for testing evidence borrowing at crisis onset</w:t>
      </w:r>
      <w:r>
        <w:t xml:space="preserve">.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decision-analytic methods evaluate predictions under explicit consequences [Vickers 2006]: a forecast is operationally useful only when its probabilistic gain changes a defensible decision.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Their stated objectives do not address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open databases, deduplication,</w:t>
      </w:r>
      <w:r>
        <w:t xml:space="preserve"> </w:t>
      </w:r>
      <w:r>
        <w:t xml:space="preserve">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data foundation of the Geneva–Vaud–Neuchâtel network, whose Geneva</w:t>
      </w:r>
      <w:r>
        <w:t xml:space="preserve"> </w:t>
      </w:r>
      <w:r>
        <w:t xml:space="preserve">core COLDSTART uses:</w:t>
      </w:r>
      <w:r>
        <w:t xml:space="preserve"> </w:t>
      </w:r>
      <w:r>
        <w:rPr>
          <w:bCs/>
          <w:b/>
        </w:rPr>
        <w:t xml:space="preserve">77 notifiable diseases in 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validation</w:t>
      </w:r>
      <w:r>
        <w:t xml:space="preserve"> </w:t>
      </w:r>
      <w:r>
        <w:t xml:space="preserve">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the grant adds</w:t>
      </w:r>
      <w:r>
        <w:t xml:space="preserve"> </w:t>
      </w:r>
      <w:r>
        <w:t xml:space="preserve">the science (two arms, registered rules, episode-level inference), not the plumbing, and</w:t>
      </w:r>
      <w:r>
        <w:t xml:space="preserve"> </w:t>
      </w:r>
      <w:r>
        <w:t xml:space="preserve">the validated instrument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distinctive linkage,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46" w:type="dxa"/>
        <w:tblLook w:firstRow="1" w:lastRow="0" w:firstColumn="0" w:lastColumn="0" w:noHBand="0" w:noVBand="0" w:val="0020"/>
        <w:jc w:val="start"/>
        <w:tblLayout w:type="fixed"/>
      </w:tblPr>
      <w:tblGrid>
        <w:gridCol w:w="1560"/>
        <w:gridCol w:w="2560"/>
        <w:gridCol w:w="642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37028"/>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37028"/>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correct this under-dispersion, success assessed by a pre-specified criterion: coverage and calibration of intervals from the corrected distribution against held-out adjudicated values.</w:t>
      </w:r>
    </w:p>
    <w:p>
      <w:pPr>
        <w:pStyle w:val="FirstParagraph"/>
      </w:pPr>
      <w:r>
        <w:t xml:space="preserve">Omissions dominate reported extraction errors [Shankar 2026]; whether they systematically shrink dispersion is what H1 tests; if the loss is uncorrectable, the project establishes a boundary condition. The evidence target spans four object classes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resilience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one half of the minimal relevant H3a improvement, the conventional preserved-fraction margin (adaptive borrowing must retain at least half the gain that justifies borrowing at all):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no fourth operational domain is required.</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 If the month-12 gate activates the registered fallback,</w:t>
      </w:r>
      <w:r>
        <w:t xml:space="preserve"> </w:t>
      </w:r>
      <w:r>
        <w:t xml:space="preserve">both arms score it, built the same way, and the claim narrows.</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I and a separately contracted independent extractor (§2.4) independently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w:t>
      </w:r>
      <w:r>
        <w:t xml:space="preserve"> </w:t>
      </w:r>
      <w:r>
        <w:rPr>
          <w:bCs/>
          <w:b/>
        </w:rPr>
        <w:t xml:space="preserve">standard deviation of the evidence-derived distribution</w:t>
      </w:r>
      <w:r>
        <w:t xml:space="preserve">, per parameter class on a common scale under the registered pooling model, with a pre-specified interval (under-dispersion: ratio below one); within-study uncertainty and between-study heterogeneity are propagated separately and jointly, with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the transportability criteria, and the mapping from transportability score to prior widening or discounting, are fixed before the confirmatory evaluation,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(the primary channel), with ED presentations and ICU occupancy added where available; pre-specified weather, calendar and epidemic covariates; series-specific observation models sharing the state. Before real-data fitting: simulation-based identifiability and recovery, including the reduced-channel case;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for WP2–WP3 (T4.1's later elicitation refines their decision interpretation, never the confirmatory state definition):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90th to 97.5th, or sustained capacity pressure (ICU occupancy above 85%, ED boarding above its seasonal 90th percentile);</w:t>
      </w:r>
      <w:r>
        <w:t xml:space="preserve"> </w:t>
      </w:r>
      <w:r>
        <w:rPr>
          <w:bCs/>
          <w:b/>
        </w:rPr>
        <w:t xml:space="preserve">critical</w:t>
      </w:r>
      <w:r>
        <w:t xml:space="preserve"> </w:t>
      </w:r>
      <w:r>
        <w:t xml:space="preserve">above the 97.5th, or capacity saturation; capacity criteria take precedence.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each input's native cadence with versioned re-fitting; and</w:t>
      </w:r>
      <w:r>
        <w:t xml:space="preserve"> </w:t>
      </w:r>
      <w:r>
        <w:rPr>
          <w:bCs/>
          <w:b/>
        </w:rPr>
        <w:t xml:space="preserve">assumption and validity diagnostics</w:t>
      </w:r>
      <w:r>
        <w:t xml:space="preserve"> </w:t>
      </w:r>
      <w:r>
        <w:t xml:space="preserve">on every fit (residual structure, dispersion, calibration) documented to prediction-model reporting standards [Collins 2015]: a model failing its checks is excluded by pre-registered rules.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not tuned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the data ecosystem I already work in; generalisation comes from the contrasting archetypes and the open national series.</w:t>
      </w:r>
    </w:p>
    <w:p>
      <w:pPr>
        <w:pStyle w:val="BodyText"/>
      </w:pPr>
      <w:r>
        <w:rPr>
          <w:bCs/>
          <w:b/>
        </w:rPr>
        <w:t xml:space="preserve">Data-access gate.</w:t>
      </w:r>
      <w:r>
        <w:t xml:space="preserve"> </w:t>
      </w:r>
      <w:r>
        <w:t xml:space="preserve">CASU-144 is the pre-specified primary outcome. Criteria for</w:t>
      </w:r>
      <w:r>
        <w:t xml:space="preserve"> </w:t>
      </w:r>
      <w:r>
        <w:rPr>
          <w:bCs/>
          <w:b/>
        </w:rPr>
        <w:t xml:space="preserve">historical depth, resolution, latency and completeness</w:t>
      </w:r>
      <w:r>
        <w:t xml:space="preserve"> </w:t>
      </w:r>
      <w:r>
        <w:t xml:space="preserve">are fixed in advance; a month-12 gate confirms it meets them; if not, the pre-specified fallback in the hierarchy activates and the operational claim narrows.</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every component validated before operational data arrive, the methodological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a daily series reconstructed from the HUG COVID-19 hospitalisation data I previously analysed [Orel 2024], re-requested as a secondary respiratory validation and calibration channel,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(WHO/ECDC situational reports) enters as a</w:t>
      </w:r>
      <w:r>
        <w:t xml:space="preserve"> </w:t>
      </w:r>
      <w:r>
        <w:rPr>
          <w:bCs/>
          <w:b/>
        </w:rPr>
        <w:t xml:space="preserve">pre-specified secondary prior variant</w:t>
      </w:r>
      <w:r>
        <w:t xml:space="preserve">, through the same extraction pipeline, outside the confirmatory contrast: H3a tests literature borrowing, not evidence fusion.</w:t>
      </w:r>
      <w:r>
        <w:t xml:space="preserve"> </w:t>
      </w:r>
      <w:r>
        <w:rPr>
          <w:bCs/>
          <w:b/>
        </w:rPr>
        <w:t xml:space="preserve">Text describing the local event is excluded from any prior</w:t>
      </w:r>
      <w:r>
        <w:t xml:space="preserve">: it is a noisy measurement of the outcome itself. Every input carries an index timestamp; revised sources enter as the</w:t>
      </w:r>
      <w:r>
        <w:t xml:space="preserve"> </w:t>
      </w:r>
      <w:r>
        <w:rPr>
          <w:bCs/>
          <w:b/>
        </w:rPr>
        <w:t xml:space="preserve">release vintage available at the origin</w:t>
      </w:r>
      <w:r>
        <w:t xml:space="preserve">, never the final revised value, observation and release times both retained;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(CRPS the primary selection criterion, log score and calibration registered admissibility constraints, not ranking criteria; after T2.5 validity checks; blind to the other arm); the fixed champion then issues the outer forecast. Selection never sees the outcomes it is scored on. Identical selection machinery runs in both arms, so the primary contrast tests the full evidence-informed configuration, not a particular model family; the library is deliberately broad for selection, not hypothesis multiplication; registered secondary contrasts isolate the prior, variable-set and model-form components.</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(harm from borrowing is as decision-relevant as benefit).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equally weighted mean over episodes.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an</w:t>
      </w:r>
      <w:r>
        <w:t xml:space="preserve"> </w:t>
      </w:r>
      <w:r>
        <w:rPr>
          <w:bCs/>
          <w:b/>
        </w:rPr>
        <w:t xml:space="preserve">episode-level bootstrap</w:t>
      </w:r>
      <w:r>
        <w:t xml:space="preserve"> </w:t>
      </w:r>
      <w:r>
        <w:t xml:space="preserve">alongside (episodes are the resampling unit, kept intact, so within-episode temporal dependence is preserved),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w:t>
      </w:r>
      <w:r>
        <w:t xml:space="preserve"> </w:t>
      </w:r>
      <w:r>
        <w:t xml:space="preserve">for</w:t>
      </w:r>
      <w:r>
        <w:t xml:space="preserve"> </w:t>
      </w:r>
      <w:r>
        <w:rPr>
          <w:iCs/>
          <w:i/>
        </w:rPr>
        <w:t xml:space="preserve">N</w:t>
      </w:r>
      <w:r>
        <w:t xml:space="preserve">: the smallest grid value meeting the operating-characteristic criterion, chosen blind to forecast performance. The</w:t>
      </w:r>
      <w:r>
        <w:t xml:space="preserve"> </w:t>
      </w:r>
      <w:r>
        <w:rPr>
          <w:bCs/>
          <w:b/>
        </w:rPr>
        <w:t xml:space="preserve">minimal relevant improvement</w:t>
      </w:r>
      <w:r>
        <w:t xml:space="preserve"> </w:t>
      </w:r>
      <w:r>
        <w:t xml:space="preserve">is a registered value of the episode-level CRPS skill score, fixed before the second registration point by a pre-specified operational-relevance criterion defined before any outcome evaluation; T4.1's later elicitation translates observed improvements into operational consequences, it does not set the threshold.</w:t>
      </w:r>
      <w:r>
        <w:t xml:space="preserve"> </w:t>
      </w:r>
      <w:r>
        <w:rPr>
          <w:bCs/>
          <w:b/>
        </w:rPr>
        <w:t xml:space="preserve">Δ is registered at one half of this fixed value</w:t>
      </w:r>
      <w:r>
        <w:t xml:space="preserve"> </w:t>
      </w:r>
      <w:r>
        <w:t xml:space="preserve">(§2.3.1); the same simulation evaluates power for these targets and the stability of the ratio-based score under heterogeneous baseline CRPS.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 The well-specified case is defined in registered simulations whose evidence- and data-generating distributions match within a set tolerance; real episodes are complementary.</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can adaptive discounting catch harmful borrowing in time?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 the borrowing framework transferred to forecasting case incidence at outbreak onset (low-count, case-based, on the linked case-environment series), not demand volume.</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without stalling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archetype that passes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checks the literature daily and re-runs the per-scenario syntheses on a registered schedule [Elliott 2014], flagging new publications that would change a parameter value, a variable set, an outcome threshold or the recommended model;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applicable institutional and regulatory approvals;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working prototype of the full evidence-to-model pipeline (§2.2.4);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46" w:type="dxa"/>
        <w:tblLook w:firstRow="1" w:lastRow="0" w:firstColumn="0" w:lastColumn="0" w:noHBand="0" w:noVBand="0" w:val="0020"/>
        <w:jc w:val="start"/>
        <w:tblLayout w:type="fixed"/>
      </w:tblPr>
      <w:tblGrid>
        <w:gridCol w:w="4031"/>
        <w:gridCol w:w="1725"/>
        <w:gridCol w:w="479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SNSF institutional confirmation letter</w:t>
            </w:r>
          </w:p>
        </w:tc>
        <w:tc>
          <w:tcPr/>
          <w:p>
            <w:pPr>
              <w:pStyle w:val="Compact"/>
              <w:jc w:val="left"/>
            </w:pPr>
            <w:r>
              <w:t xml:space="preserve">Requested</w:t>
            </w:r>
          </w:p>
        </w:tc>
        <w:tc>
          <w:tcPr/>
          <w:p>
            <w:pPr>
              <w:pStyle w:val="Compact"/>
              <w:jc w:val="left"/>
            </w:pPr>
            <w:r>
              <w:t xml:space="preserve">UNIGE Vice-Rectorate, standard administrative step</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 series (HUG, daily)</w:t>
            </w:r>
          </w:p>
        </w:tc>
        <w:tc>
          <w:tcPr/>
          <w:p>
            <w:pPr>
              <w:pStyle w:val="Compact"/>
              <w:jc w:val="left"/>
            </w:pPr>
            <w:r>
              <w:t xml:space="preserve">Re-request planned</w:t>
            </w:r>
          </w:p>
        </w:tc>
        <w:tc>
          <w:tcPr/>
          <w:p>
            <w:pPr>
              <w:pStyle w:val="Compact"/>
              <w:jc w:val="left"/>
            </w:pPr>
            <w:r>
              <w:t xml:space="preserve">Previously analysed [Orel 2024]; validation and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under the 2026 rules; support personnel can.</w:t>
      </w:r>
    </w:p>
    <w:tbl>
      <w:tblPr>
        <w:tblStyle w:val="Table"/>
        <w:tblW w:w="10546" w:type="dxa"/>
        <w:tblLook w:firstRow="1" w:lastRow="0" w:firstColumn="0" w:lastColumn="0" w:noHBand="0" w:noVBand="0" w:val="0020"/>
        <w:jc w:val="start"/>
        <w:tblLayout w:type="fixed"/>
      </w:tblPr>
      <w:tblGrid>
        <w:gridCol w:w="3880"/>
        <w:gridCol w:w="6666"/>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T1.2 protocol, logistics and adjudication support;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Data access, secure storage and processing</w:t>
            </w:r>
          </w:p>
        </w:tc>
        <w:tc>
          <w:tcPr/>
          <w:p>
            <w:pPr>
              <w:pStyle w:val="Compact"/>
              <w:jc w:val="left"/>
            </w:pPr>
            <w:r>
              <w:t xml:space="preserve">Project-specific extractions, secure-environment allocations and runs beyond existing infrastructure</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project-specific data governance and reuse</w:t>
      </w:r>
      <w:r>
        <w:t xml:space="preserve">, confirmed under the applicable institutional and regulatory framework before any analysis;</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the T3.1–T3.2 harmonisation and</w:t>
      </w:r>
      <w:r>
        <w:t xml:space="preserve"> </w:t>
      </w:r>
      <w:r>
        <w:t xml:space="preserve">rolling-origin pipeline and the reproducibility engineering behind D1.1 and D3.1; a</w:t>
      </w:r>
      <w:r>
        <w:t xml:space="preserve"> </w:t>
      </w:r>
      <w:r>
        <w:t xml:space="preserve">separately contracted</w:t>
      </w:r>
      <w:r>
        <w:t xml:space="preserve"> </w:t>
      </w:r>
      <w:r>
        <w:rPr>
          <w:bCs/>
          <w:b/>
        </w:rPr>
        <w:t xml:space="preserve">independent extractor</w:t>
      </w:r>
      <w:r>
        <w:t xml:space="preserve"> </w:t>
      </w:r>
      <w:r>
        <w:t xml:space="preserve">(M3–M9) provides T1.2's second extraction</w:t>
      </w:r>
      <w:r>
        <w:t xml:space="preserve"> </w:t>
      </w:r>
      <w:r>
        <w:t xml:space="preserve">arm. No other personnel are requested.</w:t>
      </w:r>
    </w:p>
    <w:p>
      <w:pPr>
        <w:pStyle w:val="BodyText"/>
      </w:pPr>
      <w:r>
        <w:t xml:space="preserve">No serial chain: WP2 falls back to weakly informative priors if WP1 finds extraction inadequate; WP3's open-data track runs regardless of access;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742607"/>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742607"/>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46" w:type="dxa"/>
        <w:tblLook w:firstRow="1" w:lastRow="0" w:firstColumn="0" w:lastColumn="0" w:noHBand="0" w:noVBand="0" w:val="0020"/>
        <w:jc w:val="start"/>
        <w:tblLayout w:type="fixed"/>
      </w:tblPr>
      <w:tblGrid>
        <w:gridCol w:w="1560"/>
        <w:gridCol w:w="1560"/>
        <w:gridCol w:w="742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Cross-archetype analysis complete; dashboard running for validated archetypes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evidence-synthesis platforms (mine included) assume pooled estimates are reusable as priors; a calibrated null tells both that the practice buys nothing where it matters most.</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 Durable resources,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are informative; the project quantifies whether external evidence improves those decisions, and with what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where authorised, a daily observation-mode dashboard in the hands of the services that would use it. Extending that nucleus into a multi-crisis surveillance platform is the explicit post-grant pathway; this project supplies the validated core and the update rules.</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of my own.</w:t>
      </w:r>
    </w:p>
    <w:tbl>
      <w:tblPr>
        <w:tblStyle w:val="Table"/>
        <w:tblW w:w="10546" w:type="dxa"/>
        <w:tblLook w:firstRow="1" w:lastRow="0" w:firstColumn="0" w:lastColumn="0" w:noHBand="0" w:noVBand="0" w:val="0020"/>
        <w:jc w:val="start"/>
        <w:tblLayout w:type="fixed"/>
      </w:tblPr>
      <w:tblGrid>
        <w:gridCol w:w="2167"/>
        <w:gridCol w:w="3832"/>
        <w:gridCol w:w="1560"/>
        <w:gridCol w:w="2987"/>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 borrowing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nothing established whether they improved forecasting in a new setting. The methodological core came from fifteen years of quantitative finance, from no group I have worked in; the platform was developed at UNIGE under my scientific direction.</w:t>
      </w:r>
    </w:p>
    <w:p>
      <w:pPr>
        <w:pStyle w:val="BodyText"/>
      </w:pPr>
      <w:r>
        <w:rPr>
          <w:bCs/>
          <w:b/>
        </w:rPr>
        <w:t xml:space="preserve">Collaborators and their roles.</w:t>
      </w:r>
      <w:r>
        <w:t xml:space="preserve"> </w:t>
      </w:r>
      <w:r>
        <w:t xml:space="preserve">Prof. Olivia Keiser leads the group in which I developed LiteRev; she also leads the legionellosis study, GeoAI4EI and the MAS on which I teach;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independence guarantees are documented in the confirmation letters. The programme is executable by the PI and one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a validated answer, open resources the field can build on, and a first-author methodological record: the basis for group leadership or a professorship. Ambizione consolidates my research time into one programme.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570" w:right="680" w:bottom="570" w:left="68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2026-10-07T15:25:01Z</dcterms:created>
  <dcterms:modified xsi:type="dcterms:W3CDTF">2026-10-07T15:25:01Z</dcterms:modified>
</cp:coreProperties>
</file>

<file path=docProps/custom.xml><?xml version="1.0" encoding="utf-8"?>
<Properties xmlns="http://schemas.openxmlformats.org/officeDocument/2006/custom-properties" xmlns:vt="http://schemas.openxmlformats.org/officeDocument/2006/docPropsVTypes"/>
</file>