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build surveillance, epidemic-intelligence, forecasting or decision-support capability;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and why</w:t>
      </w:r>
      <w:r>
        <w:t xml:space="preserve"> </w:t>
      </w:r>
      <w:r>
        <w:t xml:space="preserve">validation 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the corrected distribution against the adjudicated benchmark.</w:t>
      </w:r>
    </w:p>
    <w:p>
      <w:pPr>
        <w:pStyle w:val="FirstParagraph"/>
      </w:pPr>
      <w:r>
        <w:t xml:space="preserve">Omissions dominate reported extraction errors [Shankar 2026]; whether they systematically shrink dispersion is what H1 tests, and if the loss is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as a registered fraction of the minimal relevant H3a improvement, the numerical fraction and its operational rationale part of that registration: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their inputs' native cadence,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a canton whose data ecosystem I already work in; generalisation is carried by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candidate hierarchy is activated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w:t>
      </w:r>
      <w:r>
        <w:t xml:space="preserve">that validates every component before operational data arrive and makes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a daily series reconstructed from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(pre-specified metrics: CRPS, log score, calibration; after T2.5 validity checks; blind to the other arm); the fixed champion then issues the outer forecast, scored on subsequently observed outcomes. Selection never sees the outcomes it is scored on. Identical selection machinery runs in both arms, so the primary contrast tests the full evidence-informed configuration, not a particular model family; the library is deliberately broad for selection, not hypothesis multiplication, and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block bootstrap</w:t>
      </w:r>
      <w:r>
        <w:t xml:space="preserve"> </w:t>
      </w:r>
      <w:r>
        <w:t xml:space="preserve">alongside (episodes are the resampling unit, each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a registered fraction of this fixed value</w:t>
      </w:r>
      <w:r>
        <w:t xml:space="preserve">;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 automated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92160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92160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and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a daily observation-mode dashboard in the hands of the services that would use it. Extending that nucleus into a multi-crisis surveillance platform, archetype by archetype,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 none of the programmes below has this project's objective.</w:t>
      </w:r>
    </w:p>
    <w:tbl>
      <w:tblPr>
        <w:tblStyle w:val="Table"/>
        <w:tblW w:w="10546" w:type="dxa"/>
        <w:tblLook w:firstRow="1" w:lastRow="0" w:firstColumn="0" w:lastColumn="0" w:noHBand="0" w:noVBand="0" w:val="0020"/>
        <w:jc w:val="start"/>
        <w:tblLayout w:type="fixed"/>
      </w:tblPr>
      <w:tblGrid>
        <w:gridCol w:w="1988"/>
        <w:gridCol w:w="3972"/>
        <w:gridCol w:w="1560"/>
        <w:gridCol w:w="3026"/>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a validated answer, open resources the field can build on, and a first-author methodological record in my own name, the basis for group leadership or a professorship. My research time is currently split across four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2026-10-07T15:02:24Z</dcterms:created>
  <dcterms:modified xsi:type="dcterms:W3CDTF">2026-10-07T15:02:24Z</dcterms:modified>
</cp:coreProperties>
</file>

<file path=docProps/custom.xml><?xml version="1.0" encoding="utf-8"?>
<Properties xmlns="http://schemas.openxmlformats.org/officeDocument/2006/custom-properties" xmlns:vt="http://schemas.openxmlformats.org/officeDocument/2006/docPropsVTypes"/>
</file>