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 prior: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provenance-tracked, certainty-graded extraction, pooled parameter distributions and candidate model specifications.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priors improve cold-start forecast skill, how fast that value decays, and when they cause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where the crisis is epidemiological) through an automated engine that checks each model's assumptions, scores it on established metrics, and selects each arm's champion under rules fixed in advance. Exactly one contrast is confirmatory: the champion with evidence-derived priors against the champion without them, repeated once, sequentially, as the heat generalisation test.</w:t>
      </w:r>
    </w:p>
    <w:p>
      <w:pPr>
        <w:pStyle w:val="BodyText"/>
      </w:pPr>
      <w:r>
        <w:t xml:space="preserve">Respiratory epidemics carry the confirmatory test, heatwaves the sequential generalisation test, Geneva legionellosis a scoped year-4 extension. The outcome is intentionally falsifiable: if literature-derived priors improve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in advance across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but every recommended model is trained on years of local history.</w:t>
      </w:r>
    </w:p>
    <w:p>
      <w:pPr>
        <w:pStyle w:val="BodyText"/>
      </w:pPr>
      <w:r>
        <w:rPr>
          <w:bCs/>
          <w:b/>
        </w:rPr>
        <w:t xml:space="preserve">The cold-start problem is specifically a labelled-outcome problem.</w:t>
      </w:r>
      <w:r>
        <w:t xml:space="preserve"> </w:t>
      </w:r>
      <w:r>
        <w:t xml:space="preserve">At crisis onset, context variables abound but the outcome to be forecast does not, and abundance itself can mislead: Google Flu Trends overestimated influenza activity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uses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develop surveillance, forecasting and decision-support capability from local data; none has as a stated objective testing whether automatically synthesised external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modelling, extreme-value estimation,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same theme. I now</w:t>
      </w:r>
      <w:r>
        <w:t xml:space="preserve"> </w:t>
      </w:r>
      <w:r>
        <w:rPr>
          <w:bCs/>
          <w:b/>
        </w:rPr>
        <w:t xml:space="preserve">senior-author</w:t>
      </w:r>
      <w:r>
        <w:t xml:space="preserve"> </w:t>
      </w:r>
      <w:r>
        <w:t xml:space="preserve">that line (last author, [Ng'ambi 2026], accepted: machine-learning classification of</w:t>
      </w:r>
      <w:r>
        <w:t xml:space="preserve"> </w:t>
      </w:r>
      <w:r>
        <w:t xml:space="preserve">cardiovascular disease history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used it in its published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a model specification (outcome, predictors,</w:t>
      </w:r>
      <w:r>
        <w:t xml:space="preserve"> </w:t>
      </w:r>
      <w:r>
        <w:t xml:space="preserve">lags, functional form) and compartmental components parameterised from extracted ranges,</w:t>
      </w:r>
      <w:r>
        <w:t xml:space="preserve"> </w:t>
      </w:r>
      <w:r>
        <w:t xml:space="preserve">each with the articles behind it. Per-scenario</w:t>
      </w:r>
      <w:r>
        <w:t xml:space="preserve"> </w:t>
      </w:r>
      <w:r>
        <w:rPr>
          <w:bCs/>
          <w:b/>
        </w:rPr>
        <w:t xml:space="preserve">living reviews re-run on schedule</w:t>
      </w:r>
      <w:r>
        <w:t xml:space="preserve">, with</w:t>
      </w:r>
      <w:r>
        <w:t xml:space="preserve"> </w:t>
      </w:r>
      <w:r>
        <w:t xml:space="preserve">what changed made visible: the evidence-to-model mechanism this proposal interrogates, in</w:t>
      </w:r>
      <w:r>
        <w:t xml:space="preserve"> </w:t>
      </w:r>
      <w:r>
        <w:t xml:space="preserve">prototype form.</w:t>
      </w:r>
    </w:p>
    <w:p>
      <w:pPr>
        <w:pStyle w:val="BodyText"/>
      </w:pPr>
      <w:r>
        <w:t xml:space="preserve">For GESICA I built the Geneva–Vaud–Neuchâtel data foundation:</w:t>
      </w:r>
      <w:r>
        <w:t xml:space="preserve"> </w:t>
      </w:r>
      <w:r>
        <w:rPr>
          <w:bCs/>
          <w:b/>
        </w:rPr>
        <w:t xml:space="preserve">77 notifiable diseases in</w:t>
      </w:r>
      <w:r>
        <w:rPr>
          <w:bCs/>
          <w:b/>
        </w:rPr>
        <w:t xml:space="preserve"> </w:t>
      </w:r>
      <w:r>
        <w:rPr>
          <w:bCs/>
          <w:b/>
        </w:rPr>
        <w:t xml:space="preserve">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It is why validation domains are chosen by</w:t>
      </w:r>
      <w:r>
        <w:t xml:space="preserve"> </w:t>
      </w:r>
      <w:r>
        <w:rPr>
          <w:bCs/>
          <w:b/>
        </w:rPr>
        <w:t xml:space="preserve">model class</w:t>
      </w:r>
      <w:r>
        <w:t xml:space="preserve">, and why the proposal</w:t>
      </w:r>
      <w:r>
        <w:t xml:space="preserve"> </w:t>
      </w:r>
      <w:r>
        <w:t xml:space="preserve">rests on a mapped, not assumed, data landscape.</w:t>
      </w:r>
    </w:p>
    <w:p>
      <w:pPr>
        <w:pStyle w:val="BodyText"/>
      </w:pPr>
      <w:r>
        <w:rPr>
          <w:bCs/>
          <w:b/>
        </w:rPr>
        <w:t xml:space="preserve">The prototype makes the research feasible rather than aspirational</w:t>
      </w:r>
      <w:r>
        <w:t xml:space="preserve">; the validated</w:t>
      </w:r>
      <w:r>
        <w:t xml:space="preserve"> </w:t>
      </w:r>
      <w:r>
        <w:t xml:space="preserve">instrument it becomes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drawing>
          <wp:inline>
            <wp:extent cx="6640000" cy="2656000"/>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56000"/>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p>
      <w:pPr>
        <w:pStyle w:val="BodyText"/>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everything else is subordinate to it:</w:t>
      </w:r>
    </w:p>
    <w:tbl>
      <w:tblPr>
        <w:tblStyle w:val="Table"/>
        <w:tblW w:w="10466" w:type="dxa"/>
        <w:tblLook w:firstRow="1" w:lastRow="0" w:firstColumn="0" w:lastColumn="0" w:noHBand="0" w:noVBand="0" w:val="0020"/>
        <w:jc w:val="start"/>
        <w:tblLayout w:type="fixed"/>
      </w:tblPr>
      <w:tblGrid>
        <w:gridCol w:w="1560"/>
        <w:gridCol w:w="2784"/>
        <w:gridCol w:w="6122"/>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extraction errors [Shankar 2026] and shrink dispersion systematically; if uncorrectable, the project establishes a boundary condition. The evidence target spans four object classes (parameter values; predictor variables and lags; model forms; outcome and threshold definitions: T1.1); H1 is tested on the quantitative core.</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represents the critical tail; critical-slowing-down indicators are</w:t>
      </w:r>
      <w:r>
        <w:t xml:space="preserve"> </w:t>
      </w:r>
      <w:r>
        <w:rPr>
          <w:bCs/>
          <w:b/>
        </w:rPr>
        <w:t xml:space="preserve">supporting covariates</w:t>
      </w:r>
      <w:r>
        <w:t xml:space="preserve"> </w:t>
      </w:r>
      <w:r>
        <w:t xml:space="preserve">tested against level and trend.</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justified against the with-prior versus without-prior effect the study is powered to detect.</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(library, validity checks, selection rule: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A respiratory-positive, heat-negative result is a boundary condition on transportability.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These are downstream tests of value; observation mode is an extension, not a prerequisite.</w:t>
      </w:r>
    </w:p>
    <w:bookmarkEnd w:id="40"/>
    <w:bookmarkStart w:id="41"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Both arms</w:t>
      </w:r>
      <w:r>
        <w:t xml:space="preserve"> </w:t>
      </w:r>
      <w:r>
        <w:t xml:space="preserve">score</w:t>
      </w:r>
      <w:r>
        <w:t xml:space="preserve"> </w:t>
      </w:r>
      <w:r>
        <w:rPr>
          <w:bCs/>
          <w:b/>
        </w:rPr>
        <w:t xml:space="preserve">the same quantity, built the same way</w:t>
      </w:r>
      <w:r>
        <w:t xml:space="preserve">: daily emergency demand from the CASU-144</w:t>
      </w:r>
      <w:r>
        <w:t xml:space="preserve"> </w:t>
      </w:r>
      <w:r>
        <w:t xml:space="preserve">series, restricted to the cause classes the archetype's evidence base concerns (T3.0):</w:t>
      </w:r>
      <w:r>
        <w:t xml:space="preserve"> </w:t>
      </w:r>
      <w:r>
        <w:t xml:space="preserve">respiratory-related demand for epidemics;</w:t>
      </w:r>
      <w:r>
        <w:t xml:space="preserve"> </w:t>
      </w:r>
      <w:r>
        <w:rPr>
          <w:bCs/>
          <w:b/>
        </w:rPr>
        <w:t xml:space="preserve">heat-sensitive demand</w:t>
      </w:r>
      <w:r>
        <w:t xml:space="preserve"> </w:t>
      </w:r>
      <w:r>
        <w:t xml:space="preserve">for heat, since Swiss</w:t>
      </w:r>
      <w:r>
        <w:t xml:space="preserve"> </w:t>
      </w:r>
      <w:r>
        <w:t xml:space="preserve">evidence places heat effects in dehydration, renal and psychiatric admissions, with a weak</w:t>
      </w:r>
      <w:r>
        <w:t xml:space="preserve"> </w:t>
      </w:r>
      <w:r>
        <w:t xml:space="preserve">respiratory effect at older ages [Schulte 2024; Ragettli 2019]. Matching each arm's outcome to</w:t>
      </w:r>
      <w:r>
        <w:t xml:space="preserve"> </w:t>
      </w:r>
      <w:r>
        <w:t xml:space="preserve">its evidence base makes the generalisation test a test of borrowing, not of the outcome</w:t>
      </w:r>
      <w:r>
        <w:t xml:space="preserve"> </w:t>
      </w:r>
      <w:r>
        <w:t xml:space="preserve">definition.</w:t>
      </w:r>
    </w:p>
    <w:tbl>
      <w:tblPr>
        <w:tblStyle w:val="Table"/>
        <w:tblW w:w="10466" w:type="dxa"/>
        <w:tblLook w:firstRow="1" w:lastRow="0" w:firstColumn="0" w:lastColumn="0" w:noHBand="0" w:noVBand="0" w:val="0020"/>
        <w:jc w:val="start"/>
        <w:tblLayout w:type="fixed"/>
      </w:tblPr>
      <w:tblGrid>
        <w:gridCol w:w="1723"/>
        <w:gridCol w:w="2037"/>
        <w:gridCol w:w="2678"/>
        <w:gridCol w:w="4028"/>
      </w:tblGrid>
      <w:tr>
        <w:trPr>
          <w:tblHeader w:val="true"/>
        </w:trPr>
        <w:tc>
          <w:tcPr/>
          <w:p>
            <w:pPr>
              <w:pStyle w:val="Compact"/>
              <w:jc w:val="left"/>
            </w:pPr>
            <w:r>
              <w:t xml:space="preserve">Archetype</w:t>
            </w:r>
          </w:p>
        </w:tc>
        <w:tc>
          <w:tcPr/>
          <w:p>
            <w:pPr>
              <w:pStyle w:val="Compact"/>
              <w:jc w:val="left"/>
            </w:pPr>
            <w:r>
              <w:t xml:space="preserve">Role</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w:t>
            </w:r>
          </w:p>
        </w:tc>
        <w:tc>
          <w:tcPr/>
          <w:p>
            <w:pPr>
              <w:pStyle w:val="Compact"/>
              <w:jc w:val="left"/>
            </w:pPr>
            <w:r>
              <w:t xml:space="preserve">Transmissible, multi-wave, seasonal</w:t>
            </w:r>
          </w:p>
        </w:tc>
        <w:tc>
          <w:tcPr/>
          <w:p>
            <w:pPr>
              <w:pStyle w:val="Compact"/>
              <w:jc w:val="left"/>
            </w:pPr>
            <w:r>
              <w:t xml:space="preserve">Respiratory-related demand; COVID-19, influenza, RSV</w:t>
            </w:r>
          </w:p>
        </w:tc>
      </w:tr>
      <w:tr>
        <w:tc>
          <w:tcPr/>
          <w:p>
            <w:pPr>
              <w:pStyle w:val="Compact"/>
              <w:jc w:val="left"/>
            </w:pPr>
            <w:r>
              <w:rPr>
                <w:bCs/>
                <w:b/>
              </w:rPr>
              <w:t xml:space="preserve">Heatwave</w:t>
            </w:r>
          </w:p>
        </w:tc>
        <w:tc>
          <w:tcPr/>
          <w:p>
            <w:pPr>
              <w:pStyle w:val="Compact"/>
              <w:jc w:val="left"/>
            </w:pPr>
            <w:r>
              <w:t xml:space="preserve">Sequential generalisation</w:t>
            </w:r>
          </w:p>
        </w:tc>
        <w:tc>
          <w:tcPr/>
          <w:p>
            <w:pPr>
              <w:pStyle w:val="Compact"/>
              <w:jc w:val="left"/>
            </w:pPr>
            <w:r>
              <w:t xml:space="preserve">Environmental, short, sharply peaked</w:t>
            </w:r>
          </w:p>
        </w:tc>
        <w:tc>
          <w:tcPr/>
          <w:p>
            <w:pPr>
              <w:pStyle w:val="Compact"/>
              <w:jc w:val="left"/>
            </w:pPr>
            <w:r>
              <w:t xml:space="preserve">Heat-sensitive demand, same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environmental</w:t>
            </w:r>
          </w:p>
        </w:tc>
        <w:tc>
          <w:tcPr/>
          <w:p>
            <w:pPr>
              <w:pStyle w:val="Compact"/>
              <w:jc w:val="left"/>
            </w:pPr>
            <w:r>
              <w:t xml:space="preserve">Geneva legionellosis linked to installations</w:t>
            </w:r>
          </w:p>
        </w:tc>
      </w:tr>
    </w:tbl>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clinically steering alarm system by month 48: the dashboard runs strictly in observation mode.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T3.3's library.</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error is characterised separately for T3.2's faster secondary sources.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Manual extraction is expensive; 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recovery of states and transitions,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 demand distribution;</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a supporting representation,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weakly informative, fixed evidence-derived and adaptive robust borrowing. The adaptive specification is a robust mixture of an evidence-derived and a weakly informative component, prior–data conflict recorded explicitly.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every model re-estimated at its inputs' native cadence (daily demand, weekly surveillance),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never silently retained. Release a documented reference implementation integrated with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in response to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 the hierarchy governs only which series H3a is scored on.</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extension to Vaud and Neuchâtel via the CHUV-operated 144 is a pre-specified external validation if access is granted.</w:t>
      </w:r>
    </w:p>
    <w:p>
      <w:pPr>
        <w:pStyle w:val="BodyText"/>
      </w:pPr>
      <w:r>
        <w:rPr>
          <w:bCs/>
          <w:b/>
        </w:rPr>
        <w:t xml:space="preserve">Data-access gate.</w:t>
      </w:r>
      <w:r>
        <w:t xml:space="preserve"> </w:t>
      </w:r>
      <w:r>
        <w:t xml:space="preserve">Criteria fixed in advance for</w:t>
      </w:r>
      <w:r>
        <w:t xml:space="preserve"> </w:t>
      </w:r>
      <w:r>
        <w:rPr>
          <w:bCs/>
          <w:b/>
        </w:rPr>
        <w:t xml:space="preserve">historical depth, temporal resolution, reporting latency and completeness</w:t>
      </w:r>
      <w:r>
        <w:t xml:space="preserve">; the primary outcome is selected at a pre-specified checkpoint (month 12), on those criteria alone.</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r>
        <w:t xml:space="preserve">: a winter with concurrent influenza and RSV is one surge, not two.</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but before any evaluation runs, by the pre-declared selection rules of T3.3.</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truncation/nowcasting so incomplete recent reporting is not mistaken for falling demand [Höhle 2014; McGough 2020]; degraded reporting under strain could itself mimic an early-warning signal.</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through the same extraction and error pipeline, outside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enforcing the rolling cut-off; origins re-run automatically through the T2.5 layer, each input at its native cadence. Forecast horizons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operational implementations [Salmon 2016]); penalised and gradient-boosted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w:t>
      </w:r>
      <w:r>
        <w:t xml:space="preserve"> </w:t>
      </w:r>
      <w:r>
        <w:t xml:space="preserve">At each origin every admissible candidate runs automatically, passes the T2.5 assumption and validity checks, and is scored on pre-specified metrics (CRPS, log score, calibration); each arm's</w:t>
      </w:r>
      <w:r>
        <w:t xml:space="preserve"> </w:t>
      </w:r>
      <w:r>
        <w:rPr>
          <w:bCs/>
          <w:b/>
        </w:rPr>
        <w:t xml:space="preserve">champion</w:t>
      </w:r>
      <w:r>
        <w:t xml:space="preserve"> </w:t>
      </w:r>
      <w:r>
        <w:t xml:space="preserve">is selected by a registered rule, blind to the other arm. Identical machinery in both arms means the contrast isolates the evidence, not the selector; which family wins, where and when, is itself a result.</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(between library members, between borrowing strategies)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 tuned into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The unit of inference is the</w:t>
      </w:r>
      <w:r>
        <w:t xml:space="preserve"> </w:t>
      </w:r>
      <w:r>
        <w:rPr>
          <w:bCs/>
          <w:b/>
        </w:rPr>
        <w:t xml:space="preserve">episode</w:t>
      </w:r>
      <w:r>
        <w:t xml:space="preserve"> </w:t>
      </w:r>
      <w:r>
        <w:t xml:space="preserve">(origins are repeated measures within it);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and heterogeneity),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grid value meeting the operating-characteristic criterion, Δ set by a pre-declared rule on the simulated effect distribution, both chosen by algorithms blind to forecast performance.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not required for the central conclusion).</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If clinical data are delayed, H3a remains testable on open federal/cantonal and European surveillance series under the same rolling-origin restriction; §2.4 states the cost.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event types whose models pass T3.3 validation and T4.2's decision-value check, and subject to authorisation, the framework then runs as a</w:t>
      </w:r>
      <w:r>
        <w:t xml:space="preserve"> </w:t>
      </w:r>
      <w:r>
        <w:rPr>
          <w:bCs/>
          <w:b/>
        </w:rPr>
        <w:t xml:space="preserve">daily observation-mode dashboard</w:t>
      </w:r>
      <w:r>
        <w:t xml:space="preserve"> </w:t>
      </w:r>
      <w:r>
        <w:t xml:space="preserve">with the partner services (CASU-144 regulation, HUG emergency department,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proposed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a new CCER approval with me as applicant; benchmark and software released openly, synthetic equivalents where possible.</w:t>
      </w:r>
    </w:p>
    <w:p>
      <w:pPr>
        <w:pStyle w:val="BodyText"/>
      </w:pPr>
      <w:r>
        <w:rPr>
          <w:bCs/>
          <w:b/>
        </w:rPr>
        <w:t xml:space="preserve">Expected outputs.</w:t>
      </w:r>
      <w:r>
        <w:t xml:space="preserve"> </w:t>
      </w:r>
      <w:r>
        <w:t xml:space="preserve">None of the explicit fallbacks above converts an inconclusive analysis into a success claim. Four to six papers and two durable open resources;</w:t>
      </w:r>
      <w:r>
        <w:t xml:space="preserve"> </w:t>
      </w:r>
      <w:r>
        <w:rPr>
          <w:bCs/>
          <w:b/>
        </w:rPr>
        <w:t xml:space="preserve">I lead the methodological, benchmark and integrative outputs.</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collaboration with</w:t>
      </w:r>
      <w:r>
        <w:t xml:space="preserve"> </w:t>
      </w:r>
      <w:r>
        <w:rPr>
          <w:bCs/>
          <w:b/>
        </w:rPr>
        <w:t xml:space="preserve">HUG emergency medicine</w:t>
      </w:r>
      <w:r>
        <w:t xml:space="preserve"> </w:t>
      </w:r>
      <w:r>
        <w:t xml:space="preserve">(Prof. Thibaut Desmettre; Dr Robert Larribau, médecin responsable CASU-144).</w:t>
      </w:r>
    </w:p>
    <w:p>
      <w:pPr>
        <w:pStyle w:val="BodyText"/>
      </w:pPr>
      <w:r>
        <w:rPr>
          <w:bCs/>
          <w:b/>
        </w:rPr>
        <w:t xml:space="preserve">Institute of Global Health:</w:t>
      </w:r>
      <w:r>
        <w:t xml:space="preserve"> </w:t>
      </w:r>
      <w:r>
        <w:t xml:space="preserve">epidemiology, infectious-disease modelling and automated evidence extraction in one institute;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WP1 needs; through GESICA I already work with the emergency-medicine partners, and the AI-in-EMS review [Edjinedja 2026] evidences the functioning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and model specifications,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(Baobab/Yggdrasil) and the University's secure environment for clinical data.</w:t>
      </w:r>
    </w:p>
    <w:p>
      <w:pPr>
        <w:pStyle w:val="BodyText"/>
      </w:pPr>
      <w:r>
        <w:rPr>
          <w:bCs/>
          <w:b/>
        </w:rPr>
        <w:t xml:space="preserve">Commitments, by status.</w:t>
      </w:r>
    </w:p>
    <w:tbl>
      <w:tblPr>
        <w:tblStyle w:val="Table"/>
        <w:tblW w:w="10466" w:type="dxa"/>
        <w:tblLook w:firstRow="1" w:lastRow="0" w:firstColumn="0" w:lastColumn="0" w:noHBand="0" w:noVBand="0" w:val="0020"/>
        <w:jc w:val="start"/>
        <w:tblLayout w:type="fixed"/>
      </w:tblPr>
      <w:tblGrid>
        <w:gridCol w:w="2917"/>
        <w:gridCol w:w="1560"/>
        <w:gridCol w:w="5989"/>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requested. Continuous, daily, near real-time; archive depth to confirm;</w:t>
            </w:r>
            <w:r>
              <w:t xml:space="preserve"> </w:t>
            </w:r>
            <w:r>
              <w:rPr>
                <w:bCs/>
                <w:b/>
              </w:rPr>
              <w:t xml:space="preserve">HUG access established within GESICA</w:t>
            </w:r>
            <w:r>
              <w:t xml:space="preserve"> </w:t>
            </w:r>
            <w:r>
              <w:t xml:space="preserve">(voice excluded); own agreement + CCER required</w:t>
            </w:r>
          </w:p>
        </w:tc>
      </w:tr>
      <w:tr>
        <w:tc>
          <w:tcPr/>
          <w:p>
            <w:pPr>
              <w:pStyle w:val="Compact"/>
              <w:jc w:val="left"/>
            </w:pPr>
            <w:r>
              <w:t xml:space="preserve">ED presentations + ICU occupancy, additional channels</w:t>
            </w:r>
          </w:p>
        </w:tc>
        <w:tc>
          <w:tcPr/>
          <w:p>
            <w:pPr>
              <w:pStyle w:val="Compact"/>
              <w:jc w:val="left"/>
            </w:pPr>
            <w:r>
              <w:t xml:space="preserve">Requested</w:t>
            </w:r>
          </w:p>
        </w:tc>
        <w:tc>
          <w:tcPr/>
          <w:p>
            <w:pPr>
              <w:pStyle w:val="Compact"/>
              <w:jc w:val="left"/>
            </w:pPr>
            <w:r>
              <w:t xml:space="preserve">Letters requested; daily depth to confirm; ICU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key remaining feasibility items.</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466" w:type="dxa"/>
        <w:tblLook w:firstRow="1" w:lastRow="0" w:firstColumn="0" w:lastColumn="0" w:noHBand="0" w:noVBand="0" w:val="0020"/>
        <w:jc w:val="start"/>
        <w:tblLayout w:type="fixed"/>
      </w:tblPr>
      <w:tblGrid>
        <w:gridCol w:w="4338"/>
        <w:gridCol w:w="6128"/>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Results presentation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the grant starts.</w:t>
      </w:r>
      <w:r>
        <w:t xml:space="preserve"> </w:t>
      </w:r>
      <w:r>
        <w:t xml:space="preserve">Advanced before month 1, outside grant funding:</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prototype already exists</w:t>
      </w:r>
      <w:r>
        <w:t xml:space="preserve">) and on the fallbacks, each leaving the central question answerable with the narrowing stated.</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drawing>
          <wp:inline>
            <wp:extent cx="6640000" cy="3612160"/>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3612160"/>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p>
      <w:pPr>
        <w:pStyle w:val="BodyText"/>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three fully specified tasks:</w:t>
      </w:r>
      <w:r>
        <w:t xml:space="preserve"> </w:t>
      </w:r>
      <w:r>
        <w:t xml:space="preserve">T1.2's second independent extractor, the T3.1–T3.2 harmonisation and automated rolling-origin pipeline,</w:t>
      </w:r>
      <w:r>
        <w:t xml:space="preserve"> </w:t>
      </w:r>
      <w:r>
        <w:t xml:space="preserve">and the reproducibility engineering behind D1.1 and D3.1. No other personnel are requested.</w:t>
      </w:r>
    </w:p>
    <w:p>
      <w:pPr>
        <w:pStyle w:val="BodyText"/>
      </w:pPr>
      <w:r>
        <w:t xml:space="preserve">The design avoids a serial chain: WP2 falls back to weakly informative priors if WP1 finds extraction inadequate, WP3 to open surveillance data if operational access is delayed, and WP4's decision analysis is retrospective.</w:t>
      </w:r>
      <w:r>
        <w:t xml:space="preserve"> </w:t>
      </w:r>
      <w:r>
        <w:rPr>
          <w:bCs/>
          <w:b/>
        </w:rPr>
        <w:t xml:space="preserve">What the data fallback costs:</w:t>
      </w:r>
      <w:r>
        <w:t xml:space="preserve"> </w:t>
      </w:r>
      <w:r>
        <w:t xml:space="preserve">Open surveillance series are not emergency-system demand. Falling back</w:t>
      </w:r>
      <w:r>
        <w:t xml:space="preserve"> </w:t>
      </w:r>
      <w:r>
        <w:rPr>
          <w:bCs/>
          <w:b/>
        </w:rPr>
        <w:t xml:space="preserve">preserves the methodological test but narrows the outcome claim</w:t>
      </w:r>
      <w:r>
        <w:t xml:space="preserve"> </w:t>
      </w:r>
      <w:r>
        <w:t xml:space="preserve">to routinely observed crisis indicators, and turns most of WP4 illustrative; hence the agreements are a pre-award action, not a later risk.</w:t>
      </w:r>
    </w:p>
    <w:tbl>
      <w:tblPr>
        <w:tblStyle w:val="Table"/>
        <w:tblW w:w="10466" w:type="dxa"/>
        <w:tblLook w:firstRow="1" w:lastRow="0" w:firstColumn="0" w:lastColumn="0" w:noHBand="0" w:noVBand="0" w:val="0020"/>
        <w:jc w:val="start"/>
        <w:tblLayout w:type="fixed"/>
      </w:tblPr>
      <w:tblGrid>
        <w:gridCol w:w="1560"/>
        <w:gridCol w:w="1560"/>
        <w:gridCol w:w="734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validation; observation-mode dashboard running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t xml:space="preserve">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routinely seed early-crisis models with parameters lifted from a few studies, and evidence-synthesis platforms (including my own) assume pooled estimates are reusable as priors; a calibrated null tells those groups the practice buys nothing where it is most used.</w:t>
      </w:r>
    </w:p>
    <w:p>
      <w:pPr>
        <w:pStyle w:val="BodyText"/>
      </w:pPr>
      <w:r>
        <w:rPr>
          <w:bCs/>
          <w:b/>
        </w:rPr>
        <w:t xml:space="preserve">Form of publication.</w:t>
      </w:r>
      <w:r>
        <w:t xml:space="preserve"> </w:t>
      </w:r>
      <w:r>
        <w:t xml:space="preserve">Peer-reviewed articles, preprints on submission, open access throughout; the benchmark, prior library and evaluation code as</w:t>
      </w:r>
      <w:r>
        <w:t xml:space="preserve"> </w:t>
      </w:r>
      <w:r>
        <w:rPr>
          <w:bCs/>
          <w:b/>
        </w:rPr>
        <w:t xml:space="preserve">citable, versioned open resources</w:t>
      </w:r>
      <w:r>
        <w:t xml:space="preserve">; results returned to the operational partners.</w:t>
      </w:r>
    </w:p>
    <w:p>
      <w:pPr>
        <w:pStyle w:val="BodyText"/>
      </w:pPr>
      <w:r>
        <w:t xml:space="preserve">Three durable resources remain, subordinate to the central question:</w:t>
      </w:r>
      <w:r>
        <w:t xml:space="preserve"> </w:t>
      </w:r>
      <w:r>
        <w:rPr>
          <w:bCs/>
          <w:b/>
        </w:rPr>
        <w:t xml:space="preserve">a quantitative extraction benchmark</w:t>
      </w:r>
      <w:r>
        <w:t xml:space="preserve">;</w:t>
      </w:r>
      <w:r>
        <w:t xml:space="preserve"> </w:t>
      </w:r>
      <w:r>
        <w:rPr>
          <w:bCs/>
          <w:b/>
        </w:rPr>
        <w:t xml:space="preserve">an open reference framework</w:t>
      </w:r>
      <w:r>
        <w:t xml:space="preserve"> </w:t>
      </w:r>
      <w:r>
        <w:t xml:space="preserve">for evidence-informed latent-state forecasting;</w:t>
      </w:r>
      <w:r>
        <w:t xml:space="preserve"> </w:t>
      </w:r>
      <w:r>
        <w:rPr>
          <w:bCs/>
          <w:b/>
        </w:rPr>
        <w:t xml:space="preserve">a 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contrasting domains show what transfers.</w:t>
      </w:r>
    </w:p>
    <w:p>
      <w:pPr>
        <w:pStyle w:val="BodyText"/>
      </w:pPr>
      <w:r>
        <w:rPr>
          <w:bCs/>
          <w:b/>
        </w:rPr>
        <w:t xml:space="preserve">Where this points operationally.</w:t>
      </w:r>
      <w:r>
        <w:t xml:space="preserve"> </w:t>
      </w:r>
      <w:r>
        <w:t xml:space="preserve">Each validated event type leaves a registered, automatically re-validated forecasting configuration and a daily observation-mode dashboard in the hands of the services that would use it. Extending that nucleus into a multi-crisis surveillance platform for clinicians and regulators, event type by event type as models validate, is the explicit post-grant pathway; this project supplies the validated core and the update rules that make such a platform trustworthy.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have not had is a research agenda that is mine to set. None of the programmes below has this project's objective.</w:t>
      </w:r>
    </w:p>
    <w:tbl>
      <w:tblPr>
        <w:tblStyle w:val="Table"/>
        <w:tblW w:w="10466" w:type="dxa"/>
        <w:tblLook w:firstRow="1" w:lastRow="0" w:firstColumn="0" w:lastColumn="0" w:noHBand="0" w:noVBand="0" w:val="0020"/>
        <w:jc w:val="start"/>
        <w:tblLayout w:type="fixed"/>
      </w:tblPr>
      <w:tblGrid>
        <w:gridCol w:w="2090"/>
        <w:gridCol w:w="3661"/>
        <w:gridCol w:w="1560"/>
        <w:gridCol w:w="3155"/>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evidence's inferential value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evidence-derived priors help cold-start forecasting, and when they harm</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doctoral and post-doctoral output (the expected profile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programme alongside the Institute's groups rather than inside one; the PI's independence guarantees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two open resources the field can build on, and a first-author methodological record in my own name: the basis for a group-leadership position or professorship. The follow-on programme is §2.5's platform pathway; this project supplies its validated core. My research time is currently divided across four collaborative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of more than 50 authors;</w:t>
      </w:r>
      <w:r>
        <w:t xml:space="preserve"> </w:t>
      </w:r>
      <w:r>
        <w:t xml:space="preserve">shortening permitted by the guidelines).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of more than 50 authors;</w:t>
      </w:r>
      <w:r>
        <w:t xml:space="preserve"> </w:t>
      </w:r>
      <w:r>
        <w:t xml:space="preserve">shortening permitted by the guidelines).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3"/>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Difference</w:t>
      </w:r>
      <w:r>
        <w:t xml:space="preserve"> </w:t>
      </w:r>
      <w:r>
        <w:t xml:space="preserve">in clinical severity between Delta variant and Omicron sub-lineages in a Swiss tertiary</w:t>
      </w:r>
      <w:r>
        <w:t xml:space="preserve"> </w:t>
      </w:r>
      <w:r>
        <w:t xml:space="preserve">center.</w:t>
      </w:r>
      <w:r>
        <w:t xml:space="preserve"> </w:t>
      </w:r>
      <w:r>
        <w:rPr>
          <w:iCs/>
          <w:i/>
        </w:rPr>
        <w:t xml:space="preserve">CMI Communications</w:t>
      </w:r>
      <w:r>
        <w:t xml:space="preserve"> </w:t>
      </w:r>
      <w:r>
        <w:t xml:space="preserve">2024.</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680" w:right="720" w:bottom="680" w:left="72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2026-10-07T09:41:00Z</dcterms:created>
  <dcterms:modified xsi:type="dcterms:W3CDTF">2026-10-07T09:41:00Z</dcterms:modified>
</cp:coreProperties>
</file>

<file path=docProps/custom.xml><?xml version="1.0" encoding="utf-8"?>
<Properties xmlns="http://schemas.openxmlformats.org/officeDocument/2006/custom-properties" xmlns:vt="http://schemas.openxmlformats.org/officeDocument/2006/docPropsVTypes"/>
</file>