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and quantifying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the ones for which almost no local outcome data yet exist: the outcome series is a handful of noisy observations, and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lack of reliable extraction and the difficulty of transporting it to the new setting. A confidently wrong prior is worse than none: it is most influential exactly when local data cannot correct it.</w:t>
      </w:r>
    </w:p>
    <w:p>
      <w:pPr>
        <w:pStyle w:val="BodyText"/>
      </w:pPr>
      <w:r>
        <w:t xml:space="preserve">This project asks whether</w:t>
      </w:r>
      <w:r>
        <w:t xml:space="preserve"> </w:t>
      </w:r>
      <w:r>
        <w:rPr>
          <w:bCs/>
          <w:b/>
        </w:rPr>
        <w:t xml:space="preserve">published quantitative evidence can provide useful information when local outcome data are insufficient at crisis onset, and whether we can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the rest of what the literature carries (explanatory variables and lags, model forms, outcomes and thresholds), each transported to the local setting; (2) represent the state of the care system as an unobserved regime process whose escalation probabilities carry every input's uncertainty, fed by those priors and a critical-slowing-down indicator read from the short local history;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regime models; mechanistic transmission components only for epidemiological crises) through an automated engine that checks assumptions, scores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nobody has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does not assume literature-derived priors are beneficial, and does not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episode-specific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all used so far inside other people's programmes; what I lacked until now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2026-10-08T06:11:49Z</dcterms:created>
  <dcterms:modified xsi:type="dcterms:W3CDTF">2026-10-08T06:11:49Z</dcterms:modified>
</cp:coreProperties>
</file>

<file path=docProps/custom.xml><?xml version="1.0" encoding="utf-8"?>
<Properties xmlns="http://schemas.openxmlformats.org/officeDocument/2006/custom-properties" xmlns:vt="http://schemas.openxmlformats.org/officeDocument/2006/docPropsVTypes"/>
</file>