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and quantifying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lack of reliable extraction and the difficulty of transporting it to the new setting. A confidently wrong prior is worse than none: it is most influential exactly when local data cannot correct it.</w:t>
      </w:r>
    </w:p>
    <w:p>
      <w:pPr>
        <w:pStyle w:val="BodyText"/>
      </w:pPr>
      <w:r>
        <w:t xml:space="preserve">This project asks one end-to-end question:</w:t>
      </w:r>
      <w:r>
        <w:t xml:space="preserve"> </w:t>
      </w:r>
      <w:r>
        <w:rPr>
          <w:bCs/>
          <w:b/>
        </w:rPr>
        <w:t xml:space="preserve">can published quantitative evidence be reliably extracted, transported and used to forecast health-system escalation when local outcome data are insufficient at crisis onset; can we detect early when it should not be trusted; does any gain change operational decisions; and can the whole loop run automatically, prospectively verified, under pre-registered rules?</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it into a validated instrument and tests it. I will (1) establish the error structure of automated extraction and propagate it into evidence-derived priors, for parameter values and the rest of what the literature carries (explanatory variables and lags, model forms, outcomes and thresholds); (2) represent the state of the care system as an unobserved regime process whose escalation probabilities carry every input's uncertainty, fed by those priors and a critical-slowing-down indicator read from the short local history; (3) test, by strict rolling-origin reconstruction of each historical moment's information, whether the evidence improves cold-start forecast skill and when it causes harm; and (4) whether any gain is large enough to change operational decisions. The decisive experiment runs a pre-registered library of candidate models (local baselines, surveillance algorithms, machine-learning and regime models; mechanistic components only for epidemiological crises) through an automated engine that checks assumptions, scores on established metrics and selects each arm's champion under rules fixed in advance. One contrast defines the confirmatory family: the evidence-informed against the local-only champion, tested on respiratory episodes and, only if that passes, repeated on heat as the sequential generalisation.</w:t>
      </w:r>
    </w:p>
    <w:p>
      <w:pPr>
        <w:pStyle w:val="BodyText"/>
      </w:pPr>
      <w:r>
        <w:t xml:space="preserve">The forecasting machinery is validated first on open Swiss series (a public benchmark), then on Geneva's operational series. Three Geneva crisis archetypes, and no more, carry the real-world tests: respiratory epidemics confirmatory, heatwaves the sequential generalisation, legionellosis a scoped year-4 extension. The outcome is intentionally falsifiable: if the evidence improves cold-start forecasts, the project establishes when and by how much; if not, or if harm cannot be detected early enough, a boundary condition for automated evidence-informed forecasting.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and scored prospectively against observed outcomes, never yet steering care: the nucleus of a future living surveillance platform.</w:t>
      </w:r>
    </w:p>
    <w:p>
      <w:pPr>
        <w:pStyle w:val="BodyText"/>
      </w:pPr>
      <w:r>
        <w:t xml:space="preserve">The project rests on an unusual combination: fifteen years of quantitative finance on rare-event risk and regime models, LiteRev-Evidence, and Swiss emergency data. Ambizione turns these into an independent research programme, led by 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nobody has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the chain from published quantitative evidence to operational forecasting closes at the onset of a health-system crisis: reliable extraction, transport to the local setting, improved probabilistic forecasts of escalation, early detection of harmful borrowing, decision-relevant gains, and an automated, prospectively verified loop.</w:t>
      </w:r>
    </w:p>
    <w:p>
      <w:pPr>
        <w:pStyle w:val="BodyText"/>
      </w:pPr>
      <w:r>
        <w:t xml:space="preserve">This end-to-end question decomposes into</w:t>
      </w:r>
      <w:r>
        <w:t xml:space="preserve"> </w:t>
      </w:r>
      <w:r>
        <w:rPr>
          <w:bCs/>
          <w:b/>
        </w:rPr>
        <w:t xml:space="preserve">one central hypothesis, H3a</w:t>
      </w:r>
      <w:r>
        <w:t xml:space="preserve">; all else is subordinate, each row validating one link of the chain: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does not assume literature-derived priors are beneficial, and does not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running and prospectively verified,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2026-10-13T12:03:20Z</dcterms:created>
  <dcterms:modified xsi:type="dcterms:W3CDTF">2026-10-13T12:03:20Z</dcterms:modified>
</cp:coreProperties>
</file>

<file path=docProps/custom.xml><?xml version="1.0" encoding="utf-8"?>
<Properties xmlns="http://schemas.openxmlformats.org/officeDocument/2006/custom-properties" xmlns:vt="http://schemas.openxmlformats.org/officeDocument/2006/docPropsVTypes"/>
</file>