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linked through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is affecting cause-specific emergency demand. The model must estimate and update that relationship as outcomes from the episode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My background combines fifteen years in quantitative finance, where I worked on rare-event risk, regime changes and stress testing, with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5"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At the beginning of an outbreak or heat event, a model may know tomorrow's temperature, today's wastewater signal and the calendar, while only a few cause-specific outcomes from that episode have been recorded. The issue is not a lack of contextual measurements. It is insufficient outcome information to estimate the current relationship with local demand. 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A prior is a probability distribution for a model parameter before outcomes from the current episode are observed. It represents what previous evidence suggests without treating those estimates as exact.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These efforts provide important forecasting, surveillance and decision-support capabilities. The specific question here is narrower. Does automatically extracted evidence from earlier studies improve forecasts of a local service's demand when observations from the current episode are still few? HEADSTART tests this under registered rules, with the same raw data streams available to both forecast strategies and historical reconstruction that excludes information not available at the time.</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background combines fifteen years in quantitative finance, where I worked on risk, extreme values, regime models and stress testing, with a doctorate in biomedical sciences at Geneva (defended 18 December 2023). This combination provides the methods for modelling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provides direct experience with the question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HEADSTART will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 This inventory provides a practical starting point for linking available inputs to the forecasting workflow.</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quantitative-finance work provides experience in Bayesian hierarchical modelling, regime changes, extreme values and stress testing under misspecification. LiteRev-Evidence provides the extraction and pooling methods. My doctorate, Swiss COVID-19 work and GESICA provide the public-health and Geneva context.</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HEADSTART separates data that describe conditions from outcomes that show how those conditions affect a local service. Weather, air quality, calendar effects, wastewater and surveillance indicators may be abundant and linked automatically. The scarce information at the start of an episode is the number and quality of relevant local outcomes observed so far, such as cause-specific emergency demand. 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png" id="35" name="Picture"/>
                    <pic:cNvPicPr>
                      <a:picLocks noChangeArrowheads="1" noChangeAspect="1"/>
                    </pic:cNvPicPr>
                  </pic:nvPicPr>
                  <pic:blipFill>
                    <a:blip r:embed="rId33"/>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6"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a common extraction error [Shankar 2026]. H1 tests whether they also reduce the estimated spread of the evidence and whether the correction restores useful uncertainty. If the error cannot be corrected, that defines a condition under which automated evidence should not be used as a model input. The primary benchmark concerns parameter values, and the other three evidence classes are checked against published syntheses.</w:t>
      </w:r>
    </w:p>
    <w:bookmarkEnd w:id="36"/>
    <w:bookmarkStart w:id="37"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project uses the registered ordinal state-space fallback, and the main comparison of the two forecast strategies can still proceed.</w:t>
      </w:r>
    </w:p>
    <w:bookmarkEnd w:id="37"/>
    <w:bookmarkStart w:id="38"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contextual inputs, historical local records and outcomes observed so far, but not the project's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outcome variability and lag-one autocorrelation will be tested to see whether they improve forecasts beyond the available context inputs, the local outcome level and trend, and the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8"/>
    <w:bookmarkStart w:id="39"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39"/>
    <w:bookmarkStart w:id="40"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0"/>
    <w:bookmarkStart w:id="41"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Context streams such as observed weather or air quality are collected separately and made available to both forecast strategies, and the literature helps estimate their relationship with the target and select useful representations. The full extraction benchmark focuses on class 1, while classes 2–4 carry provenance and certainty grades and are validated against published syntheses.</w:t>
      </w:r>
    </w:p>
    <w:bookmarkEnd w:id="43"/>
    <w:bookmarkStart w:id="44"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6"/>
    <w:bookmarkStart w:id="47"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will be narrowed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49"/>
    <w:bookmarkStart w:id="50"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two possible indicators of changes in system dynamics, are tested as optional predictors of state transitions. The question is whether they add information beyond context inputs, recent outcome level and trend, and published evidence. A null result remains informative.</w:t>
      </w:r>
    </w:p>
    <w:bookmarkEnd w:id="52"/>
    <w:bookmarkStart w:id="53"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the relevant access agreements. The pipeline records timestamps, data revisions and model versions, refits at the registered cadence, and checks residual structure, dispersion and calibration after each fit. Models that fail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examined.</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 Both strategies receive the same available inputs, and the reference strategy does not use literature-derived information from HEADSTART.</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5"/>
    <w:bookmarkStart w:id="56"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6"/>
    <w:bookmarkStart w:id="57"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update cadence. Candidate horizons are 7, 14 and 28 days, and the primary horizon is fixed at the second registration using the operational rule. The early-episode window is counted from an onset rule that uses only information available at each forecast date.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 The primary output is then the estimated benefit and harm across episodes and the conditions under which the method fails.</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8"/>
    <w:bookmarkStart w:id="59"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to matter. Results will show when the approach helps, when it does not, and why, rather than relying on a single average effect.</w:t>
      </w:r>
    </w:p>
    <w:bookmarkEnd w:id="59"/>
    <w:bookmarkStart w:id="60" w:name="t35-test-generalisation-m34m42"/>
    <w:p>
      <w:pPr>
        <w:pStyle w:val="Heading5"/>
      </w:pPr>
      <w:r>
        <w:t xml:space="preserve">T3.5. Test generalisation (M34–M42)</w:t>
      </w:r>
    </w:p>
    <w:p>
      <w:pPr>
        <w:pStyle w:val="FirstParagraph"/>
      </w:pPr>
      <w:r>
        <w:t xml:space="preserve">The heat test is the sequential generalisation. If time and the linked data permit, the year-four legionellosis extension applies the same evidence-processing principles to forecasts of case incidence at outbreak onset. It is a contrasting case study, not part of the emergency-demand confirmatory comparison.</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expert-elicitation exercise using SHELF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demand counts rather than a state, a registered mapping converts the predictive distribution to the same escalation-state probabilities.</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model rankings change when operational consequences are included. Calibration and threshold performance are also checked across aggregate groups defined by age, sex and neighbourhood deprivation. Overall calibration is not enough if the model performs poorly for a group relevant to decisions.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(elicited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The programme will be hosted alongside existing groups and led independently. DS4DH provides the biomedical natural-language-processing expertise needed for WP1, and GESICA has already established working links with emergency-medicine partners [Edjinedja 2026]. Existing infrastructure includes LiteRev-Evidence, the linked legionellosis study, UNIGE HPC and the University's secure clinical-data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The main unresolved feasibility items are the ED/ICU extraction and the project-specific CASU-144 agreement. Each depends on an existing institutional relationship, but neither is described as fully secured before the relevant agreement is in place.</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 The open-data track and model fallbacks allow methods work to proceed if one data source is delayed.</w:t>
      </w:r>
    </w:p>
    <w:bookmarkEnd w:id="67"/>
    <w:bookmarkEnd w:id="68"/>
    <w:bookmarkStart w:id="72"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the extraction benchmark reveals unacceptable error, the open-data evaluation can proceed without clinical records, and WP4's retrospective decision analysis does not depend on live deployment. The open-data track cannot replace the operational demand test, so access agreements remain an important pre-award task.</w:t>
      </w:r>
    </w:p>
    <w:p>
      <w:pPr>
        <w:pStyle w:val="BodyText"/>
      </w:pPr>
      <w:r>
        <w:drawing>
          <wp:inline>
            <wp:extent cx="6640000" cy="2625013"/>
            <wp:effectExtent b="0" l="0" r="0" t="0"/>
            <wp:docPr descr="Work plan" title="" id="70" name="Picture"/>
            <a:graphic>
              <a:graphicData uri="http://schemas.openxmlformats.org/drawingml/2006/picture">
                <pic:pic>
                  <pic:nvPicPr>
                    <pic:cNvPr descr="figures/fig2-gantt.png" id="71" name="Picture"/>
                    <pic:cNvPicPr>
                      <a:picLocks noChangeArrowheads="1" noChangeAspect="1"/>
                    </pic:cNvPicPr>
                  </pic:nvPicPr>
                  <pic:blipFill>
                    <a:blip r:embed="rId69"/>
                    <a:stretch>
                      <a:fillRect/>
                    </a:stretch>
                  </pic:blipFill>
                  <pic:spPr bwMode="auto">
                    <a:xfrm>
                      <a:off x="0" y="0"/>
                      <a:ext cx="6640000" cy="2625013"/>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2"/>
    <w:bookmarkStart w:id="73"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3"/>
    <w:bookmarkStart w:id="74"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t xml:space="preserve">When published evidence improves forecasts, and when it misleads</w:t>
            </w:r>
          </w:p>
        </w:tc>
        <w:tc>
          <w:tcPr/>
          <w:p>
            <w:pPr>
              <w:pStyle w:val="Compact"/>
              <w:jc w:val="left"/>
            </w:pPr>
            <w:r>
              <w:rPr>
                <w:bCs/>
                <w:b/>
              </w:rPr>
              <w:t xml:space="preserve">PI, full-time</w:t>
            </w:r>
          </w:p>
        </w:tc>
        <w:tc>
          <w:tcPr/>
          <w:p>
            <w:pPr>
              <w:pStyle w:val="Compact"/>
              <w:jc w:val="left"/>
            </w:pPr>
            <w:r>
              <w:t xml:space="preserve">-</w:t>
            </w:r>
          </w:p>
        </w:tc>
      </w:tr>
    </w:tbl>
    <w:p>
      <w:pPr>
        <w:pStyle w:val="BodyText"/>
      </w:pPr>
      <w:r>
        <w:t xml:space="preserve">HEADSTART is distinct from GESICA and GeoAI4EI. Those programmes develop epidemic-intelligence and decision-support capabilities. This project tests whether published quantitative evidence can improve forecasts when observations from the current local episode are still limited.</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and GeoAI4EI.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w:t>
      </w:r>
    </w:p>
    <w:p>
      <w:pPr>
        <w:pStyle w:val="BodyText"/>
      </w:pPr>
      <w:r>
        <w:t xml:space="preserve">Where this leads. By month 48, a validated answer and a first-author record, the basis for group leadership or a professorship.</w:t>
      </w:r>
    </w:p>
    <w:bookmarkEnd w:id="74"/>
    <w:bookmarkEnd w:id="75"/>
    <w:bookmarkStart w:id="76"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6"/>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360" w:lineRule="auto"/>
      <w:jc w:val="both"/>
    </w:pPr>
    <w:rPr>
      <w:sz w:val="20"/>
      <w:szCs w:val="20"/>
    </w:rPr>
  </w:style>
  <w:style w:styleId="BodyText" w:type="paragraph">
    <w:name w:val="Body Text"/>
    <w:basedOn w:val="Normal"/>
    <w:link w:val="BodyTextChar"/>
    <w:pPr>
      <w:spacing w:before="0" w:after="1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120" w:line="360" w:lineRule="auto"/>
      <w:jc w:val="both"/>
    </w:pPr>
  </w:style>
  <w:style w:customStyle="1" w:styleId="Compact" w:type="paragraph">
    <w:name w:val="Compact"/>
    <w:basedOn w:val="BodyText"/>
    <w:qFormat/>
    <w:pPr>
      <w:spacing w:before="0" w:after="6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240" w:after="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220" w:after="8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200" w:after="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180" w:after="6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160" w:after="6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2026-10-14T14:20:53Z</dcterms:created>
  <dcterms:modified xsi:type="dcterms:W3CDTF">2026-10-14T14:20:53Z</dcterms:modified>
</cp:coreProperties>
</file>

<file path=docProps/custom.xml><?xml version="1.0" encoding="utf-8"?>
<Properties xmlns="http://schemas.openxmlformats.org/officeDocument/2006/custom-properties" xmlns:vt="http://schemas.openxmlformats.org/officeDocument/2006/docPropsVTypes"/>
</file>