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svgz" ContentType="image/svg+xml"/>
  <Override PartName="/word/media/rId72.svgz" ContentType="image/svg+xml"/>
  <Override PartName="/word/media/rId37.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bookmarkStart w:id="20" w:name="title"/>
    <w:p>
      <w:pPr>
        <w:pStyle w:val="Heading1"/>
      </w:pPr>
      <w:r>
        <w:t xml:space="preserve">Title</w:t>
      </w:r>
    </w:p>
    <w:p>
      <w:pPr>
        <w:pStyle w:val="FirstParagraph"/>
      </w:pPr>
      <w:r>
        <w:rPr>
          <w:bCs/>
          <w:b/>
        </w:rPr>
        <w:t xml:space="preserve">COLDSTART: Anticipating health-system crises before the outcome is observable</w:t>
      </w:r>
    </w:p>
    <w:bookmarkEnd w:id="20"/>
    <w:bookmarkStart w:id="21"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Context variables abound, but the outcome series is initially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thousands of studies reporting transmission parameters, weather–demand associations and surge magnitudes. It is rarely tested as formal prior information, because of the two steps that matter most:</w:t>
      </w:r>
      <w:r>
        <w:t xml:space="preserve"> </w:t>
      </w:r>
      <w:r>
        <w:rPr>
          <w:bCs/>
          <w:b/>
        </w:rPr>
        <w:t xml:space="preserve">reliable extraction of quantitative estimates, and their transport to the new setting.</w:t>
      </w:r>
      <w:r>
        <w:t xml:space="preserve"> </w:t>
      </w:r>
      <w:r>
        <w:t xml:space="preserve">A confidently wrong prior is worse than no prior, because it is most influential when local data cannot yet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shows the pipeline, from query across the open literature through screening and provenance-tracked extraction to pooled parameter distributions. The project turns the prototype into a validated instrument and tests it: I will (1) establish the error structure of automated extraction and propagate it into evidence-derived priors; (2) develop an uncertainty-aware latent-regime framework for health-system escalation, with those priors and a short-window resilience signal; (3) test, by strict rolling-origin reconstruction of each historical moment's information, whether the priors improve probabilistic forecast skill during the cold-start phase, how fast that value decays, and when they cause harm; and (4) determine whether any gain is large enough to change operational decisions. The decisive experiment is a pre-specified ladder of models, from local baselines to literature-derived priors and adaptive borrowing that discounts them under prior–data conflict; one rung-to-rung contrast is confirmatory, repeated once, sequentially, as the heat generalisation test.</w:t>
      </w:r>
    </w:p>
    <w:p>
      <w:pPr>
        <w:pStyle w:val="BodyText"/>
      </w:pPr>
      <w:r>
        <w:t xml:space="preserve">Validation uses contrasting crisis archetypes: respiratory epidemics carry the confirmatory test, heatwaves the sequential generalisation test, Geneva legionellosis a scoped year-4 extension. The outcome is intentionally falsifiable: if literature-derived priors improve cold-start forecasts, the project establishes when and by how much; if not, or if their harm cannot be detected early enough, it establishes a boundary condition for automated evidence-informed forecasting. Either way, the deliverable is a validated answer and an open framework, not another untested forecasting platform.</w:t>
      </w:r>
    </w:p>
    <w:p>
      <w:pPr>
        <w:pStyle w:val="BodyText"/>
      </w:pPr>
      <w:r>
        <w:t xml:space="preserve">The project rests on an unusual combination: fifteen years in quantitative finance on rare-event risk, regime models and stress testing; LiteRev-Evidence; Swiss hospital and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1"/>
    <w:bookmarkStart w:id="79" w:name="X8b36afa75a2de508da9560c6460302ca5c61af2"/>
    <w:p>
      <w:pPr>
        <w:pStyle w:val="Heading1"/>
      </w:pPr>
      <w:r>
        <w:t xml:space="preserve">2. Proposed research</w:t>
      </w:r>
    </w:p>
    <w:bookmarkStart w:id="27" w:name="X3824c2b9afdf0750c0641121f961c7d2a2d683f"/>
    <w:p>
      <w:pPr>
        <w:pStyle w:val="Heading2"/>
      </w:pPr>
      <w:r>
        <w:t xml:space="preserve">2.1 Current state of research in the field</w:t>
      </w:r>
    </w:p>
    <w:bookmarkStart w:id="22"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in advance across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What to do in the first weeks of a novel or displaced crisis remains open.</w:t>
      </w:r>
    </w:p>
    <w:p>
      <w:pPr>
        <w:pStyle w:val="BodyText"/>
      </w:pPr>
      <w:r>
        <w:rPr>
          <w:bCs/>
          <w:b/>
        </w:rPr>
        <w:t xml:space="preserve">The cold-start problem is specifically a labelled-outcome problem.</w:t>
      </w:r>
      <w:r>
        <w:t xml:space="preserve"> </w:t>
      </w:r>
      <w:r>
        <w:t xml:space="preserve">At crisis onset, context variables abound but the outcome to be forecast does not, and abundance itself can mislead: Google Flu Trends overestimated influenza activity by more than a factor of two [Lazer 2014]. Early signals do not close the gap: wastewater needs a shedding-to-incidence relationship that itself comes from external evidence; transfer learning needs contemporaneous comparable observations; mechanistic models need hand-set parameters from a few studies. The common issue is</w:t>
      </w:r>
      <w:r>
        <w:t xml:space="preserve"> </w:t>
      </w:r>
      <w:r>
        <w:rPr>
          <w:bCs/>
          <w:b/>
        </w:rPr>
        <w:t xml:space="preserve">how to use external quantitative information without pretending it is perfectly transferable</w:t>
      </w:r>
      <w:r>
        <w:t xml:space="preserve">.</w:t>
      </w:r>
    </w:p>
    <w:bookmarkEnd w:id="22"/>
    <w:bookmarkStart w:id="23"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3"/>
    <w:bookmarkStart w:id="24"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Critical-slowing-down theory (rising variance and lag-1 autocorrelation before some transitions [Scheffer 2009]; epidemic applications [O'Regan 2013; Brett 2018; Southall 2021]) uses the shape of a short recent series: a</w:t>
      </w:r>
      <w:r>
        <w:t xml:space="preserve"> </w:t>
      </w:r>
      <w:r>
        <w:rPr>
          <w:bCs/>
          <w:b/>
        </w:rPr>
        <w:t xml:space="preserve">secondary information channel</w:t>
      </w:r>
      <w:r>
        <w:t xml:space="preserve">, tested empirically.</w:t>
      </w:r>
    </w:p>
    <w:bookmarkEnd w:id="24"/>
    <w:bookmarkStart w:id="25"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5"/>
    <w:bookmarkStart w:id="26"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These programmes develop surveillance, forecasting and decision-support capability from local data; their stated objectives do not include testing whether automatically synthesised external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whether systematically extracted evidence improves forecasting before local outcome data become informative, and whether harmful borrowing is detectable early enough to discount.</w:t>
      </w:r>
    </w:p>
    <w:p>
      <w:r>
        <w:pict>
          <v:rect style="width:0;height:1.5pt" o:hralign="center" o:hrstd="t" o:hr="t"/>
        </w:pict>
      </w:r>
    </w:p>
    <w:bookmarkEnd w:id="26"/>
    <w:bookmarkEnd w:id="27"/>
    <w:bookmarkStart w:id="33"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modelling, extreme-value estimation, regime models, stress testing), then a</w:t>
      </w:r>
      <w:r>
        <w:t xml:space="preserve"> </w:t>
      </w:r>
      <w:r>
        <w:t xml:space="preserve">doctorate in biomedical sciences at Geneva (defended</w:t>
      </w:r>
      <w:r>
        <w:t xml:space="preserve"> </w:t>
      </w:r>
      <w:r>
        <w:t xml:space="preserve">18 December 2023).</w:t>
      </w:r>
    </w:p>
    <w:bookmarkStart w:id="28"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same theme. I now</w:t>
      </w:r>
      <w:r>
        <w:t xml:space="preserve"> </w:t>
      </w:r>
      <w:r>
        <w:rPr>
          <w:bCs/>
          <w:b/>
        </w:rPr>
        <w:t xml:space="preserve">senior-author</w:t>
      </w:r>
      <w:r>
        <w:t xml:space="preserve"> </w:t>
      </w:r>
      <w:r>
        <w:t xml:space="preserve">that line (last author, [Ng'ambi 2026], accepted: machine-learning classification of</w:t>
      </w:r>
      <w:r>
        <w:t xml:space="preserve"> </w:t>
      </w:r>
      <w:r>
        <w:t xml:space="preserve">cardiovascular disease history across harmonised WHO STEPS surveys). That is this proposal's transportability problem, met first</w:t>
      </w:r>
      <w:r>
        <w:t xml:space="preserve"> </w:t>
      </w:r>
      <w:r>
        <w:t xml:space="preserve">elsewhere and moved from conducting to directing.</w:t>
      </w:r>
    </w:p>
    <w:bookmarkEnd w:id="28"/>
    <w:bookmarkStart w:id="29"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used it in its published methods.</w:t>
      </w:r>
    </w:p>
    <w:bookmarkEnd w:id="29"/>
    <w:bookmarkStart w:id="30"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30"/>
    <w:bookmarkStart w:id="31"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from retrieval and</w:t>
      </w:r>
      <w:r>
        <w:t xml:space="preserve"> </w:t>
      </w:r>
      <w:r>
        <w:t xml:space="preserve">screening into structured 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quality-scored</w:t>
      </w:r>
      <w:r>
        <w:rPr>
          <w:bCs/>
          <w:b/>
        </w:rPr>
        <w:t xml:space="preserve"> </w:t>
      </w:r>
      <w:r>
        <w:rPr>
          <w:bCs/>
          <w:b/>
        </w:rPr>
        <w:t xml:space="preserve">extraction pooled into parameter distributions</w:t>
      </w:r>
      <w:r>
        <w:t xml:space="preserve"> </w:t>
      </w:r>
      <w:r>
        <w:t xml:space="preserve">and propagated through ensemble simulation,</w:t>
      </w:r>
      <w:r>
        <w:t xml:space="preserve"> </w:t>
      </w:r>
      <w:r>
        <w:t xml:space="preserve">with per-scenario</w:t>
      </w:r>
      <w:r>
        <w:t xml:space="preserve"> </w:t>
      </w:r>
      <w:r>
        <w:rPr>
          <w:bCs/>
          <w:b/>
        </w:rPr>
        <w:t xml:space="preserve">living reviews re-run daily</w:t>
      </w:r>
      <w:r>
        <w:t xml:space="preserve">: the literature-to-prior mechanism this</w:t>
      </w:r>
      <w:r>
        <w:t xml:space="preserve"> </w:t>
      </w:r>
      <w:r>
        <w:t xml:space="preserve">proposal interrogates, in prototype form. Operational scenarios are elaborated with</w:t>
      </w:r>
      <w:r>
        <w:t xml:space="preserve"> </w:t>
      </w:r>
      <w:r>
        <w:t xml:space="preserve">emergency-medicine partners.</w:t>
      </w:r>
    </w:p>
    <w:p>
      <w:pPr>
        <w:pStyle w:val="BodyText"/>
      </w:pPr>
      <w:r>
        <w:t xml:space="preserve">For GESICA I built the Geneva–Vaud–Neuchâtel data foundation:</w:t>
      </w:r>
      <w:r>
        <w:t xml:space="preserve"> </w:t>
      </w:r>
      <w:r>
        <w:rPr>
          <w:bCs/>
          <w:b/>
        </w:rPr>
        <w:t xml:space="preserve">77 notifiable diseases in</w:t>
      </w:r>
      <w:r>
        <w:rPr>
          <w:bCs/>
          <w:b/>
        </w:rPr>
        <w:t xml:space="preserve"> </w:t>
      </w:r>
      <w:r>
        <w:rPr>
          <w:bCs/>
          <w:b/>
        </w:rPr>
        <w:t xml:space="preserve">eight model classes</w:t>
      </w:r>
      <w:r>
        <w:t xml:space="preserve"> </w:t>
      </w:r>
      <w:r>
        <w:t xml:space="preserve">by transmission mode,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It is why the</w:t>
      </w:r>
      <w:r>
        <w:t xml:space="preserve"> </w:t>
      </w:r>
      <w:r>
        <w:t xml:space="preserve">validation domains are chosen by</w:t>
      </w:r>
      <w:r>
        <w:t xml:space="preserve"> </w:t>
      </w:r>
      <w:r>
        <w:rPr>
          <w:bCs/>
          <w:b/>
        </w:rPr>
        <w:t xml:space="preserve">model class</w:t>
      </w:r>
      <w:r>
        <w:t xml:space="preserve">, and why this proposal rests on a mapped data</w:t>
      </w:r>
      <w:r>
        <w:t xml:space="preserve"> </w:t>
      </w:r>
      <w:r>
        <w:t xml:space="preserve">landscape rather than an assumed one.</w:t>
      </w:r>
    </w:p>
    <w:p>
      <w:pPr>
        <w:pStyle w:val="BodyText"/>
      </w:pPr>
      <w:r>
        <w:rPr>
          <w:bCs/>
          <w:b/>
        </w:rPr>
        <w:t xml:space="preserve">The prototype makes the research feasible rather than aspirational</w:t>
      </w:r>
      <w:r>
        <w:t xml:space="preserve">; the validated</w:t>
      </w:r>
      <w:r>
        <w:t xml:space="preserve"> </w:t>
      </w:r>
      <w:r>
        <w:t xml:space="preserve">instrument it becomes is itself a deliverable.</w:t>
      </w:r>
    </w:p>
    <w:bookmarkEnd w:id="31"/>
    <w:bookmarkStart w:id="32"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waterborne archetype whose</w:t>
      </w:r>
      <w:r>
        <w:t xml:space="preserve"> </w:t>
      </w:r>
      <w:r>
        <w:t xml:space="preserve">dynamics differ fundamentally from a respiratory epidemic's.</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pPr>
        <w:pStyle w:val="BodyText"/>
      </w:pPr>
      <w:r>
        <w:t xml:space="preserve">My other commitments and their delimitation are in §2.6; what I have not yet had is a</w:t>
      </w:r>
      <w:r>
        <w:t xml:space="preserve"> </w:t>
      </w:r>
      <w:r>
        <w:t xml:space="preserve">programme of my own with time to run it.</w:t>
      </w:r>
    </w:p>
    <w:p>
      <w:r>
        <w:pict>
          <v:rect style="width:0;height:1.5pt" o:hralign="center" o:hrstd="t" o:hr="t"/>
        </w:pict>
      </w:r>
    </w:p>
    <w:bookmarkEnd w:id="32"/>
    <w:bookmarkEnd w:id="33"/>
    <w:bookmarkStart w:id="71" w:name="X648e0f2197cacfb2ee21a81ffaf34acd4f314d4"/>
    <w:p>
      <w:pPr>
        <w:pStyle w:val="Heading2"/>
      </w:pPr>
      <w:r>
        <w:t xml:space="preserve">2.3 Detailed research plan</w:t>
      </w:r>
    </w:p>
    <w:bookmarkStart w:id="44" w:name="Xc5b6cd9b30a4be694f7ca250dc7e64474c91e76"/>
    <w:p>
      <w:pPr>
        <w:pStyle w:val="Heading3"/>
      </w:pPr>
      <w:r>
        <w:t xml:space="preserve">2.3.1 Objectives and hypotheses</w:t>
      </w:r>
    </w:p>
    <w:p>
      <w:pPr>
        <w:pStyle w:val="FirstParagraph"/>
      </w:pPr>
      <w:r>
        <w:drawing>
          <wp:inline>
            <wp:extent cx="5334000" cy="2880360"/>
            <wp:effectExtent b="0" l="0" r="0" t="0"/>
            <wp:docPr descr="Framework" title="" id="35" name="Picture"/>
            <a:graphic>
              <a:graphicData uri="http://schemas.openxmlformats.org/drawingml/2006/picture">
                <pic:pic>
                  <pic:nvPicPr>
                    <pic:cNvPr descr="figures/fig1-framework.svg" id="36" name="Picture"/>
                    <pic:cNvPicPr>
                      <a:picLocks noChangeArrowheads="1" noChangeAspect="1"/>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334000" cy="2880360"/>
                    </a:xfrm>
                    <a:prstGeom prst="rect">
                      <a:avLst/>
                    </a:prstGeom>
                    <a:noFill/>
                    <a:ln w="9525">
                      <a:noFill/>
                      <a:headEnd/>
                      <a:tailEnd/>
                    </a:ln>
                  </pic:spPr>
                </pic:pic>
              </a:graphicData>
            </a:graphic>
          </wp:inline>
        </w:drawing>
      </w:r>
    </w:p>
    <w:p>
      <w:pPr>
        <w:pStyle w:val="BodyText"/>
      </w:pPr>
      <w:r>
        <w:rPr>
          <w:iCs/>
          <w:i/>
        </w:rPr>
        <w:t xml:space="preserve">Figure 1: cold-start problem, evidence-borrowing hypothesis, evaluation ladder.</w:t>
      </w:r>
    </w:p>
    <w:p>
      <w:pPr>
        <w:pStyle w:val="BodyText"/>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everything else is subordinate to it:</w:t>
      </w:r>
    </w:p>
    <w:tbl>
      <w:tblPr>
        <w:tblStyle w:val="Table"/>
        <w:tblW w:w="10318" w:type="dxa"/>
        <w:tblLook w:firstRow="1" w:lastRow="0" w:firstColumn="0" w:lastColumn="0" w:noHBand="0" w:noVBand="0" w:val="0020"/>
        <w:jc w:val="start"/>
        <w:tblLayout w:type="fixed"/>
      </w:tblPr>
      <w:tblGrid>
        <w:gridCol w:w="1300"/>
        <w:gridCol w:w="2745"/>
        <w:gridCol w:w="6273"/>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bookmarkStart w:id="38"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extraction errors [Shankar 2026] and shrink dispersion systematically; if uncorrectable, the project establishes a boundary condition.</w:t>
      </w:r>
    </w:p>
    <w:bookmarkEnd w:id="38"/>
    <w:bookmarkStart w:id="39"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represents the critical tail; critical-slowing-down indicators are</w:t>
      </w:r>
      <w:r>
        <w:t xml:space="preserve"> </w:t>
      </w:r>
      <w:r>
        <w:rPr>
          <w:bCs/>
          <w:b/>
        </w:rPr>
        <w:t xml:space="preserve">supporting covariates</w:t>
      </w:r>
      <w:r>
        <w:t xml:space="preserve"> </w:t>
      </w:r>
      <w:r>
        <w:t xml:space="preserve">tested against level and trend.</w:t>
      </w:r>
    </w:p>
    <w:bookmarkEnd w:id="39"/>
    <w:bookmarkStart w:id="40"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justified against the rung 3 → rung 4 effect the study is powered to detect.</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rung 4 (fixed evidence-derived priors) against rung 3 (weakly informative priors),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w:t>
      </w:r>
      <w:r>
        <w:t xml:space="preserve">(procedure and registration: T3.3). Heat repeats the identical contrast as a</w:t>
      </w:r>
      <w:r>
        <w:t xml:space="preserve"> </w:t>
      </w:r>
      <w:r>
        <w:rPr>
          <w:bCs/>
          <w:b/>
        </w:rPr>
        <w:t xml:space="preserve">sequential generalisation test</w:t>
      </w:r>
      <w:r>
        <w:t xml:space="preserve">, run only if the respiratory test is met; the fixed order controls the family-wise error rate; respiratory evidence is richest, heat transport hardest. A respiratory-positive, heat-negative result is a boundary condition on transportability. The</w:t>
      </w:r>
      <w:r>
        <w:t xml:space="preserve"> </w:t>
      </w:r>
      <w:r>
        <w:rPr>
          <w:bCs/>
          <w:b/>
        </w:rPr>
        <w:t xml:space="preserve">shape of the advantage over elapsed local data</w:t>
      </w:r>
      <w:r>
        <w:t xml:space="preserve"> </w:t>
      </w:r>
      <w:r>
        <w:t xml:space="preserve">is reported: it should decay to nothing.</w:t>
      </w:r>
    </w:p>
    <w:bookmarkEnd w:id="40"/>
    <w:bookmarkStart w:id="41"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These are downstream tests of value; shadow mode is an extension, not a prerequisite.</w:t>
      </w:r>
    </w:p>
    <w:bookmarkEnd w:id="41"/>
    <w:bookmarkStart w:id="42"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Both arms</w:t>
      </w:r>
      <w:r>
        <w:t xml:space="preserve"> </w:t>
      </w:r>
      <w:r>
        <w:t xml:space="preserve">score</w:t>
      </w:r>
      <w:r>
        <w:t xml:space="preserve"> </w:t>
      </w:r>
      <w:r>
        <w:rPr>
          <w:bCs/>
          <w:b/>
        </w:rPr>
        <w:t xml:space="preserve">the same quantity, built the same way</w:t>
      </w:r>
      <w:r>
        <w:t xml:space="preserve">: daily emergency demand from the CASU-144</w:t>
      </w:r>
      <w:r>
        <w:t xml:space="preserve"> </w:t>
      </w:r>
      <w:r>
        <w:t xml:space="preserve">series, restricted to the cause classes the archetype's evidence base concerns (T3.0):</w:t>
      </w:r>
      <w:r>
        <w:t xml:space="preserve"> </w:t>
      </w:r>
      <w:r>
        <w:t xml:space="preserve">respiratory-related demand for epidemics;</w:t>
      </w:r>
      <w:r>
        <w:t xml:space="preserve"> </w:t>
      </w:r>
      <w:r>
        <w:rPr>
          <w:bCs/>
          <w:b/>
        </w:rPr>
        <w:t xml:space="preserve">heat-sensitive demand</w:t>
      </w:r>
      <w:r>
        <w:t xml:space="preserve"> </w:t>
      </w:r>
      <w:r>
        <w:t xml:space="preserve">for heat, since Swiss</w:t>
      </w:r>
      <w:r>
        <w:t xml:space="preserve"> </w:t>
      </w:r>
      <w:r>
        <w:t xml:space="preserve">evidence places heat effects in dehydration, renal and psychiatric admissions, with a weak</w:t>
      </w:r>
      <w:r>
        <w:t xml:space="preserve"> </w:t>
      </w:r>
      <w:r>
        <w:t xml:space="preserve">respiratory effect at older ages [Schulte 2024; Ragettli 2019]. Matching each arm's outcome to</w:t>
      </w:r>
      <w:r>
        <w:t xml:space="preserve"> </w:t>
      </w:r>
      <w:r>
        <w:t xml:space="preserve">its evidence base makes the generalisation test a test of borrowing, not of the outcome</w:t>
      </w:r>
      <w:r>
        <w:t xml:space="preserve"> </w:t>
      </w:r>
      <w:r>
        <w:t xml:space="preserve">definition.</w:t>
      </w:r>
    </w:p>
    <w:tbl>
      <w:tblPr>
        <w:tblStyle w:val="Table"/>
        <w:tblW w:w="10318" w:type="dxa"/>
        <w:tblLook w:firstRow="1" w:lastRow="0" w:firstColumn="0" w:lastColumn="0" w:noHBand="0" w:noVBand="0" w:val="0020"/>
        <w:jc w:val="start"/>
        <w:tblLayout w:type="fixed"/>
      </w:tblPr>
      <w:tblGrid>
        <w:gridCol w:w="1699"/>
        <w:gridCol w:w="2008"/>
        <w:gridCol w:w="2640"/>
        <w:gridCol w:w="3971"/>
      </w:tblGrid>
      <w:tr>
        <w:trPr>
          <w:tblHeader w:val="true"/>
        </w:trPr>
        <w:tc>
          <w:tcPr/>
          <w:p>
            <w:pPr>
              <w:pStyle w:val="Compact"/>
              <w:jc w:val="left"/>
            </w:pPr>
            <w:r>
              <w:t xml:space="preserve">Archetype</w:t>
            </w:r>
          </w:p>
        </w:tc>
        <w:tc>
          <w:tcPr/>
          <w:p>
            <w:pPr>
              <w:pStyle w:val="Compact"/>
              <w:jc w:val="left"/>
            </w:pPr>
            <w:r>
              <w:t xml:space="preserve">Role</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w:t>
            </w:r>
          </w:p>
        </w:tc>
        <w:tc>
          <w:tcPr/>
          <w:p>
            <w:pPr>
              <w:pStyle w:val="Compact"/>
              <w:jc w:val="left"/>
            </w:pPr>
            <w:r>
              <w:t xml:space="preserve">Transmissible, multi-wave, seasonal</w:t>
            </w:r>
          </w:p>
        </w:tc>
        <w:tc>
          <w:tcPr/>
          <w:p>
            <w:pPr>
              <w:pStyle w:val="Compact"/>
              <w:jc w:val="left"/>
            </w:pPr>
            <w:r>
              <w:t xml:space="preserve">Respiratory-related demand; COVID-19, influenza, RSV</w:t>
            </w:r>
          </w:p>
        </w:tc>
      </w:tr>
      <w:tr>
        <w:tc>
          <w:tcPr/>
          <w:p>
            <w:pPr>
              <w:pStyle w:val="Compact"/>
              <w:jc w:val="left"/>
            </w:pPr>
            <w:r>
              <w:rPr>
                <w:bCs/>
                <w:b/>
              </w:rPr>
              <w:t xml:space="preserve">Heatwave</w:t>
            </w:r>
          </w:p>
        </w:tc>
        <w:tc>
          <w:tcPr/>
          <w:p>
            <w:pPr>
              <w:pStyle w:val="Compact"/>
              <w:jc w:val="left"/>
            </w:pPr>
            <w:r>
              <w:t xml:space="preserve">Sequential generalisation</w:t>
            </w:r>
          </w:p>
        </w:tc>
        <w:tc>
          <w:tcPr/>
          <w:p>
            <w:pPr>
              <w:pStyle w:val="Compact"/>
              <w:jc w:val="left"/>
            </w:pPr>
            <w:r>
              <w:t xml:space="preserve">Environmental, short, sharply peaked</w:t>
            </w:r>
          </w:p>
        </w:tc>
        <w:tc>
          <w:tcPr/>
          <w:p>
            <w:pPr>
              <w:pStyle w:val="Compact"/>
              <w:jc w:val="left"/>
            </w:pPr>
            <w:r>
              <w:t xml:space="preserve">Heat-sensitive demand, same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environmental</w:t>
            </w:r>
          </w:p>
        </w:tc>
        <w:tc>
          <w:tcPr/>
          <w:p>
            <w:pPr>
              <w:pStyle w:val="Compact"/>
              <w:jc w:val="left"/>
            </w:pPr>
            <w:r>
              <w:t xml:space="preserve">Geneva legionellosis linked to installations</w:t>
            </w:r>
          </w:p>
        </w:tc>
      </w:tr>
    </w:tbl>
    <w:bookmarkEnd w:id="42"/>
    <w:bookmarkStart w:id="43"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deployed clinical alarm system by month 48.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3"/>
    <w:bookmarkEnd w:id="44"/>
    <w:bookmarkStart w:id="69" w:name="X7638ec2bcf1f605f5e9c309229fda3948dd7274"/>
    <w:p>
      <w:pPr>
        <w:pStyle w:val="Heading3"/>
      </w:pPr>
      <w:r>
        <w:t xml:space="preserve">2.3.2 Work packages and methods</w:t>
      </w:r>
    </w:p>
    <w:p>
      <w:pPr>
        <w:pStyle w:val="FirstParagraph"/>
      </w:pPr>
      <w:r>
        <w:t xml:space="preserve">WP1 establishes whether the evidence can be trusted; WP2 supplies the common state representation; WP3 is the decisive cold-start evaluation; WP4 translates predictive differences into operational value.</w:t>
      </w:r>
    </w:p>
    <w:bookmarkStart w:id="50" w:name="X002b48ad99ef7a015f0c8b3d513a5be8cd69f24"/>
    <w:p>
      <w:pPr>
        <w:pStyle w:val="Heading4"/>
      </w:pPr>
      <w:r>
        <w:t xml:space="preserve">WP1: From published evidence to usable priors</w:t>
      </w:r>
      <w:r>
        <w:t xml:space="preserve"> </w:t>
      </w:r>
      <w:r>
        <w:rPr>
          <w:iCs/>
          <w:i/>
        </w:rPr>
        <w:t xml:space="preserve">(M1–M20)</w:t>
      </w:r>
    </w:p>
    <w:bookmarkStart w:id="45"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Core (benchmarked in full), the quantities the demand model consumes:</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w:t>
      </w:r>
      <w:r>
        <w:t xml:space="preserve">(presentation to admission, admission to ICU).</w:t>
      </w:r>
      <w:r>
        <w:t xml:space="preserve"> </w:t>
      </w:r>
      <w:r>
        <w:rPr>
          <w:bCs/>
          <w:b/>
        </w:rPr>
        <w:t xml:space="preserve">Secondary (only if core completes on schedule):</w:t>
      </w:r>
      <w:r>
        <w:t xml:space="preserve"> </w:t>
      </w:r>
      <w:r>
        <w:t xml:space="preserve">transmission parameters (R0/Rt, serial interval) and shedding-to-incidence conversions; neither is on the critical path. Inclusion criteria, effect measures, uncertainty representation and transportability variables are fixed first.</w:t>
      </w:r>
    </w:p>
    <w:bookmarkEnd w:id="45"/>
    <w:bookmarkStart w:id="46"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error is characterised separately for the faster sources of T3.2's secondary prior variant. The benchmark is an open deliverable.</w:t>
      </w:r>
    </w:p>
    <w:bookmarkEnd w:id="46"/>
    <w:bookmarkStart w:id="47"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with sensitivity to the underlying model version.</w:t>
      </w:r>
    </w:p>
    <w:bookmarkEnd w:id="47"/>
    <w:bookmarkStart w:id="48"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8"/>
    <w:bookmarkStart w:id="49"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Manual extraction is expensive; if expert time binds, the benchmark narrows to the core parameter classes.</w:t>
      </w:r>
    </w:p>
    <w:bookmarkEnd w:id="49"/>
    <w:bookmarkEnd w:id="50"/>
    <w:bookmarkStart w:id="56" w:name="X96361259bb603d8d0d63166386752c7f2a90aae"/>
    <w:p>
      <w:pPr>
        <w:pStyle w:val="Heading4"/>
      </w:pPr>
      <w:r>
        <w:t xml:space="preserve">WP2: A parsimonious model of health-system escalation</w:t>
      </w:r>
      <w:r>
        <w:t xml:space="preserve"> </w:t>
      </w:r>
      <w:r>
        <w:rPr>
          <w:iCs/>
          <w:i/>
        </w:rPr>
        <w:t xml:space="preserve">(M1–M28)</w:t>
      </w:r>
    </w:p>
    <w:bookmarkStart w:id="51"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recovery of states and transitions,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 demand distribution;</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so one definition serves epidemic and heat episodes; in estimation they enter as priors on state-dependent levels, not hard cutoffs.</w:t>
      </w:r>
    </w:p>
    <w:bookmarkEnd w:id="51"/>
    <w:bookmarkStart w:id="52"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a supporting representation, not a separate objective.</w:t>
      </w:r>
    </w:p>
    <w:bookmarkEnd w:id="52"/>
    <w:bookmarkStart w:id="53"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weakly informative, fixed evidence-derived and adaptive robust borrowing, distinguishing the value of evidence from that of the regime representation. The adaptive specification is a robust mixture of an evidence-derived and a weakly informative component, prior–data conflict recorded explicitly. Power-prior and commensurate-prior approaches are sensitivity comparators.</w:t>
      </w:r>
    </w:p>
    <w:bookmarkEnd w:id="53"/>
    <w:bookmarkStart w:id="54"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4"/>
    <w:bookmarkStart w:id="55" w:name="X38921f172612dea664f39e2fc1efbe804347bc2"/>
    <w:p>
      <w:pPr>
        <w:pStyle w:val="Heading5"/>
      </w:pPr>
      <w:r>
        <w:t xml:space="preserve">T2.5: Calibration and implementation</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not a headline claim. Release a documented reference implementation integrated with LiteRev-Evidence.</w:t>
      </w:r>
    </w:p>
    <w:p>
      <w:pPr>
        <w:pStyle w:val="BodyText"/>
      </w:pPr>
      <w:r>
        <w:rPr>
          <w:bCs/>
          <w:b/>
        </w:rPr>
        <w:t xml:space="preserve">Simulation is prior information, not data.</w:t>
      </w:r>
      <w:r>
        <w:t xml:space="preserve"> </w:t>
      </w:r>
      <w:r>
        <w:t xml:space="preserve">Fitting to literature-parameterised trajectories as if independent observations would count the same prior information twice and disable the prior–data discrepancy diagnostic H3b depends on. Mechanistic simulation serves only identifiability studies, structural constraints and prior predictive checking; generated trajectories never tighten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5"/>
    <w:bookmarkEnd w:id="56"/>
    <w:bookmarkStart w:id="63" w:name="X3621a3c2966e02ae9abd610739842be4cccf549"/>
    <w:p>
      <w:pPr>
        <w:pStyle w:val="Heading4"/>
      </w:pPr>
      <w:r>
        <w:t xml:space="preserve">WP3: The decisive cold-start experiment</w:t>
      </w:r>
      <w:r>
        <w:t xml:space="preserve"> </w:t>
      </w:r>
      <w:r>
        <w:rPr>
          <w:iCs/>
          <w:i/>
        </w:rPr>
        <w:t xml:space="preserve">(M12–M42)</w:t>
      </w:r>
    </w:p>
    <w:bookmarkStart w:id="57"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in response to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 with sensitivity to the construction reported.</w:t>
      </w:r>
      <w:r>
        <w:t xml:space="preserve"> </w:t>
      </w:r>
      <w:r>
        <w:rPr>
          <w:bCs/>
          <w:b/>
        </w:rPr>
        <w:t xml:space="preserve">The heat arm scores heat-sensitive demand</w:t>
      </w:r>
      <w:r>
        <w:t xml:space="preserve">: the same series and construction, restricted to cause classes fixed at registration (dehydration, renal, psychiatric, per the Swiss evidence), with respiratory-restricted and 75+ sensitivities.</w:t>
      </w:r>
      <w:r>
        <w:t xml:space="preserve"> </w:t>
      </w:r>
      <w:r>
        <w:rPr>
          <w:bCs/>
          <w:b/>
        </w:rPr>
        <w:t xml:space="preserve">The primary claim is scoped to what the series measures</w:t>
      </w:r>
      <w:r>
        <w:t xml:space="preserve">: the operational demand signal observed by the dispatch system. ED presentations and ICU occupancy enter as</w:t>
      </w:r>
      <w:r>
        <w:t xml:space="preserve"> </w:t>
      </w:r>
      <w:r>
        <w:rPr>
          <w:bCs/>
          <w:b/>
        </w:rPr>
        <w:t xml:space="preserve">additional observation channels on the shared latent state</w:t>
      </w:r>
      <w:r>
        <w:t xml:space="preserve">; wastewater, sentinel consultations and weather as covariates; the hierarchy governs only which series H3a is scored on.</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coverage area of the HUG-operated centrale); extension to Vaud and Neuchâtel via the CHUV-operated 144 is a pre-specified external validation if access is granted.</w:t>
      </w:r>
    </w:p>
    <w:p>
      <w:pPr>
        <w:pStyle w:val="BodyText"/>
      </w:pPr>
      <w:r>
        <w:rPr>
          <w:bCs/>
          <w:b/>
        </w:rPr>
        <w:t xml:space="preserve">Data-access gate.</w:t>
      </w:r>
      <w:r>
        <w:t xml:space="preserve"> </w:t>
      </w:r>
      <w:r>
        <w:t xml:space="preserve">Criteria fixed in advance for</w:t>
      </w:r>
      <w:r>
        <w:t xml:space="preserve"> </w:t>
      </w:r>
      <w:r>
        <w:rPr>
          <w:bCs/>
          <w:b/>
        </w:rPr>
        <w:t xml:space="preserve">historical depth, temporal resolution, reporting latency and completeness</w:t>
      </w:r>
      <w:r>
        <w:t xml:space="preserve">; the primary outcome is selected at a pre-specified checkpoint (month 12), on those criteria alone.</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r>
        <w:t xml:space="preserve">: a winter with concurrent influenza and RSV is one surge, not two.</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but before any evaluation runs, by the pre-declared selection rules of T3.3. Earlier would be guesswork; after any look at performance, indefensible.</w:t>
      </w:r>
    </w:p>
    <w:bookmarkEnd w:id="57"/>
    <w:bookmarkStart w:id="58"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truncation/nowcasting so incomplete recent reporting is not mistaken for falling demand [Höhle 2014; McGough 2020]. Degraded reporting under strain could itself mimic an early-warning signal, so missingness and delay are characterised explicitly.</w:t>
      </w:r>
    </w:p>
    <w:bookmarkEnd w:id="58"/>
    <w:bookmarkStart w:id="59"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it passes through the same extraction and measurement-error pipeline but stays out of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enforcing the rolling cut-off. Forecast horizons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origin, never any future information.</w:t>
      </w:r>
    </w:p>
    <w:bookmarkEnd w:id="59"/>
    <w:bookmarkStart w:id="60" w:name="X8439964b6ba96ceed5109fb1b1d4721670042fa"/>
    <w:p>
      <w:pPr>
        <w:pStyle w:val="Heading5"/>
      </w:pPr>
      <w:r>
        <w:t xml:space="preserve">T3.3: Evaluate a pre-specified model ladder</w:t>
      </w:r>
      <w:r>
        <w:t xml:space="preserve"> </w:t>
      </w:r>
      <w:r>
        <w:rPr>
          <w:iCs/>
          <w:i/>
        </w:rPr>
        <w:t xml:space="preserve">(M20–M34)</w:t>
      </w:r>
    </w:p>
    <w:p>
      <w:pPr>
        <w:pStyle w:val="FirstParagraph"/>
      </w:pPr>
      <w:r>
        <w:t xml:space="preserve">At each origin compare: (1) seasonal/naive local baseline (seasonal GLM with weekday and holiday terms; persistence); (2) established short-baseline surveillance method (Farrington/Noufaily exceedance; Bayesian nowcasting); (3) regime model, weakly informative priors; (4) the same model, fixed evidence-derived priors; (5) adaptive borrowing with conflict monitoring; (6) adaptive borrowing plus resilience indicators.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Rung 4 vs rung 3,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ladder contrasts are secondary.</w:t>
      </w:r>
      <w:r>
        <w:t xml:space="preserve"> </w:t>
      </w:r>
      <w:r>
        <w:rPr>
          <w:bCs/>
          <w:b/>
        </w:rPr>
        <w:t xml:space="preserve">Rung 3 is pinned in the registration</w:t>
      </w:r>
      <w:r>
        <w:t xml:space="preserve">, with a pre-declared set of vaguer and tighter alternatives reported as a sensitivity band: the comparator cannot be tuned into a straw man after the fact.</w:t>
      </w:r>
    </w:p>
    <w:p>
      <w:pPr>
        <w:pStyle w:val="BodyText"/>
      </w:pPr>
      <w:r>
        <w:rPr>
          <w:bCs/>
          <w:b/>
        </w:rPr>
        <w:t xml:space="preserve">Primary endpoint:</w:t>
      </w:r>
      <w:r>
        <w:t xml:space="preserve"> </w:t>
      </w:r>
      <w:r>
        <w:t xml:space="preserve">the CRPS skill score of rung 4 versus rung 3 over the cold-start window. The unit of inference is the</w:t>
      </w:r>
      <w:r>
        <w:t xml:space="preserve"> </w:t>
      </w:r>
      <w:r>
        <w:rPr>
          <w:bCs/>
          <w:b/>
        </w:rPr>
        <w:t xml:space="preserve">episode</w:t>
      </w:r>
      <w:r>
        <w:t xml:space="preserve"> </w:t>
      </w:r>
      <w:r>
        <w:t xml:space="preserve">(origins are repeated measures within it);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within-episode dependence and heterogeneity),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grid value meeting the operating-characteristic criterion, Δ set by a pre-declared rule on the simulated effect distribution, both chosen by algorithms blind to forecast performance.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60"/>
    <w:bookmarkStart w:id="61"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1"/>
    <w:bookmarkStart w:id="62"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not required for the central conclusion).</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If clinical data are delayed, H3a remains testable on open federal/cantonal and European surveillance series under the same rolling-origin restriction; §2.4 states the cost.</w:t>
      </w:r>
    </w:p>
    <w:bookmarkEnd w:id="62"/>
    <w:bookmarkEnd w:id="63"/>
    <w:bookmarkStart w:id="67" w:name="X817573a182041657fbc376b8819e3f332001f1c"/>
    <w:p>
      <w:pPr>
        <w:pStyle w:val="Heading4"/>
      </w:pPr>
      <w:r>
        <w:t xml:space="preserve">WP4: From predictive skill to operational value</w:t>
      </w:r>
      <w:r>
        <w:t xml:space="preserve"> </w:t>
      </w:r>
      <w:r>
        <w:rPr>
          <w:iCs/>
          <w:i/>
        </w:rPr>
        <w:t xml:space="preserve">(M24–M48)</w:t>
      </w:r>
    </w:p>
    <w:bookmarkStart w:id="64"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w:t>
      </w:r>
    </w:p>
    <w:bookmarkEnd w:id="64"/>
    <w:bookmarkStart w:id="65"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A model counts as useful only if its improvement crosses a decision-relevant threshold.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5"/>
    <w:bookmarkStart w:id="66" w:name="X2a75f046817986cf4af9ac4d50bee94983d6192"/>
    <w:p>
      <w:pPr>
        <w:pStyle w:val="Heading5"/>
      </w:pPr>
      <w:r>
        <w:t xml:space="preserve">T4.3: Counterfactual analysis and prospective validation</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If authorised, the framework also runs in</w:t>
      </w:r>
      <w:r>
        <w:t xml:space="preserve"> </w:t>
      </w:r>
      <w:r>
        <w:rPr>
          <w:bCs/>
          <w:b/>
        </w:rPr>
        <w:t xml:space="preserve">shadow mode</w:t>
      </w:r>
      <w:r>
        <w:t xml:space="preserve"> </w:t>
      </w:r>
      <w:r>
        <w:t xml:space="preserve">(forecasts recorded, never used clinically); if not,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and prospective validation where feasible.</w:t>
      </w:r>
    </w:p>
    <w:p>
      <w:pPr>
        <w:pStyle w:val="BodyText"/>
      </w:pPr>
      <w:r>
        <w:rPr>
          <w:bCs/>
          <w:b/>
        </w:rPr>
        <w:t xml:space="preserve">Methods, data protection and reproducibility.</w:t>
      </w:r>
      <w:r>
        <w:t xml:space="preserve"> </w:t>
      </w:r>
      <w:r>
        <w:t xml:space="preserve">Version-controlled R/Python, a registered analysis plan for confirmatory comparisons; clinical data processed in the UNIGE secure environment under a new CCER approval with me as applicant; benchmark and software released openly, synthetic equivalents where possible.</w:t>
      </w:r>
    </w:p>
    <w:bookmarkEnd w:id="66"/>
    <w:bookmarkEnd w:id="67"/>
    <w:bookmarkStart w:id="68" w:name="risks-and-fallback-logic"/>
    <w:p>
      <w:pPr>
        <w:pStyle w:val="Heading4"/>
      </w:pPr>
      <w:r>
        <w:t xml:space="preserve">Risks and fallback logic</w:t>
      </w:r>
    </w:p>
    <w:p>
      <w:pPr>
        <w:pStyle w:val="FirstParagraph"/>
      </w:pPr>
      <w:r>
        <w:t xml:space="preserve">The two central risks are scientific, and each yields a result rather than a stall:</w:t>
      </w:r>
      <w:r>
        <w:t xml:space="preserve"> </w:t>
      </w:r>
      <w:r>
        <w:rPr>
          <w:bCs/>
          <w:b/>
        </w:rPr>
        <w:t xml:space="preserve">evidence may be unusable</w:t>
      </w:r>
      <w:r>
        <w:t xml:space="preserve"> </w:t>
      </w:r>
      <w:r>
        <w:t xml:space="preserve">(WP1 establishes that boundary, WP3 quantifies the cost of ignoring it: a publishable negative result);</w:t>
      </w:r>
      <w:r>
        <w:t xml:space="preserve"> </w:t>
      </w:r>
      <w:r>
        <w:rPr>
          <w:bCs/>
          <w:b/>
        </w:rPr>
        <w:t xml:space="preserve">the state model may be weakly identifiable</w:t>
      </w:r>
      <w:r>
        <w:t xml:space="preserve"> </w:t>
      </w:r>
      <w:r>
        <w:t xml:space="preserve">(simulation first, ordinal fallback, the identifiability boundary reported as a result). None of the explicit fallbacks above converts an inconclusive analysis into a success claim.</w:t>
      </w:r>
    </w:p>
    <w:p>
      <w:pPr>
        <w:pStyle w:val="BodyText"/>
      </w:pPr>
      <w:r>
        <w:rPr>
          <w:bCs/>
          <w:b/>
        </w:rPr>
        <w:t xml:space="preserve">Expected outputs.</w:t>
      </w:r>
      <w:r>
        <w:t xml:space="preserve"> </w:t>
      </w:r>
      <w:r>
        <w:t xml:space="preserve">Four to six papers and two durable open resources (the extraction benchmark, the evidence-to-prior framework);</w:t>
      </w:r>
      <w:r>
        <w:t xml:space="preserve"> </w:t>
      </w:r>
      <w:r>
        <w:rPr>
          <w:bCs/>
          <w:b/>
        </w:rPr>
        <w:t xml:space="preserve">I lead the methodological, benchmark and integrative outputs.</w:t>
      </w:r>
    </w:p>
    <w:p>
      <w:r>
        <w:pict>
          <v:rect style="width:0;height:1.5pt" o:hralign="center" o:hrstd="t" o:hr="t"/>
        </w:pict>
      </w:r>
    </w:p>
    <w:bookmarkEnd w:id="68"/>
    <w:bookmarkEnd w:id="69"/>
    <w:bookmarkStart w:id="70"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collaboration with</w:t>
      </w:r>
      <w:r>
        <w:t xml:space="preserve"> </w:t>
      </w:r>
      <w:r>
        <w:rPr>
          <w:bCs/>
          <w:b/>
        </w:rPr>
        <w:t xml:space="preserve">HUG emergency medicine</w:t>
      </w:r>
      <w:r>
        <w:t xml:space="preserve"> </w:t>
      </w:r>
      <w:r>
        <w:t xml:space="preserve">(Prof. Thibaut Desmettre; Dr Robert Larribau, médecin responsable CASU-144).</w:t>
      </w:r>
    </w:p>
    <w:p>
      <w:pPr>
        <w:pStyle w:val="BodyText"/>
      </w:pPr>
      <w:r>
        <w:rPr>
          <w:bCs/>
          <w:b/>
        </w:rPr>
        <w:t xml:space="preserve">Institute of Global Health:</w:t>
      </w:r>
      <w:r>
        <w:t xml:space="preserve"> </w:t>
      </w:r>
      <w:r>
        <w:t xml:space="preserve">epidemiology, infectious-disease modelling and automated evidence extraction in one institute;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WP1 needs; through GESICA I already work with the emergency-medicine partners, and the AI-in-EMS review [Edjinedja 2026] evidences the functioning collaboration.</w:t>
      </w:r>
    </w:p>
    <w:p>
      <w:pPr>
        <w:pStyle w:val="BodyText"/>
      </w:pPr>
      <w:r>
        <w:rPr>
          <w:bCs/>
          <w:b/>
        </w:rPr>
        <w:t xml:space="preserve">Existing infrastructure.</w:t>
      </w:r>
      <w:r>
        <w:t xml:space="preserve"> </w:t>
      </w:r>
      <w:r>
        <w:t xml:space="preserve">LiteRev-Evidence is a prototype (live federated search of the open literature, screening, living reviews, provenance-tracked extraction with quality scoring, pooling into parameter distributions,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(Baobab/Yggdrasil) and the University's secure environment for clinical data.</w:t>
      </w:r>
    </w:p>
    <w:p>
      <w:pPr>
        <w:pStyle w:val="BodyText"/>
      </w:pPr>
      <w:r>
        <w:rPr>
          <w:bCs/>
          <w:b/>
        </w:rPr>
        <w:t xml:space="preserve">Commitments, by status.</w:t>
      </w:r>
    </w:p>
    <w:tbl>
      <w:tblPr>
        <w:tblStyle w:val="Table"/>
        <w:tblW w:w="10318" w:type="dxa"/>
        <w:tblLook w:firstRow="1" w:lastRow="0" w:firstColumn="0" w:lastColumn="0" w:noHBand="0" w:noVBand="0" w:val="0020"/>
        <w:jc w:val="start"/>
        <w:tblLayout w:type="fixed"/>
      </w:tblPr>
      <w:tblGrid>
        <w:gridCol w:w="2424"/>
        <w:gridCol w:w="1300"/>
        <w:gridCol w:w="65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Collaboration letter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Collaboration letter requested. Continuous, daily, near real-time, archive depth to confirm;</w:t>
            </w:r>
            <w:r>
              <w:t xml:space="preserve"> </w:t>
            </w:r>
            <w:r>
              <w:rPr>
                <w:bCs/>
                <w:b/>
              </w:rPr>
              <w:t xml:space="preserve">HUG centrale access already established within GESICA</w:t>
            </w:r>
            <w:r>
              <w:t xml:space="preserve"> </w:t>
            </w:r>
            <w:r>
              <w:t xml:space="preserve">(voice excluded); own agreement and CCER approval required</w:t>
            </w:r>
          </w:p>
        </w:tc>
      </w:tr>
      <w:tr>
        <w:tc>
          <w:tcPr/>
          <w:p>
            <w:pPr>
              <w:pStyle w:val="Compact"/>
              <w:jc w:val="left"/>
            </w:pPr>
            <w:r>
              <w:t xml:space="preserve">ED presentations, additional channel</w:t>
            </w:r>
          </w:p>
        </w:tc>
        <w:tc>
          <w:tcPr/>
          <w:p>
            <w:pPr>
              <w:pStyle w:val="Compact"/>
              <w:jc w:val="left"/>
            </w:pPr>
            <w:r>
              <w:t xml:space="preserve">Requested</w:t>
            </w:r>
          </w:p>
        </w:tc>
        <w:tc>
          <w:tcPr/>
          <w:p>
            <w:pPr>
              <w:pStyle w:val="Compact"/>
              <w:jc w:val="left"/>
            </w:pPr>
            <w:r>
              <w:t xml:space="preserve">Collaboration letter requested; daily historical availability to confirm</w:t>
            </w:r>
          </w:p>
        </w:tc>
      </w:tr>
      <w:tr>
        <w:tc>
          <w:tcPr/>
          <w:p>
            <w:pPr>
              <w:pStyle w:val="Compact"/>
              <w:jc w:val="left"/>
            </w:pPr>
            <w:r>
              <w:t xml:space="preserve">ICU occupancy data</w:t>
            </w:r>
          </w:p>
        </w:tc>
        <w:tc>
          <w:tcPr/>
          <w:p>
            <w:pPr>
              <w:pStyle w:val="Compact"/>
              <w:jc w:val="left"/>
            </w:pPr>
            <w:r>
              <w:t xml:space="preserve">Requested</w:t>
            </w:r>
          </w:p>
        </w:tc>
        <w:tc>
          <w:tcPr/>
          <w:p>
            <w:pPr>
              <w:pStyle w:val="Compact"/>
              <w:jc w:val="left"/>
            </w:pPr>
            <w:r>
              <w:t xml:space="preserve">Collaboration letter requested;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key remaining feasibility items; §2.4 states their cost.</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318" w:type="dxa"/>
        <w:tblLook w:firstRow="1" w:lastRow="0" w:firstColumn="0" w:lastColumn="0" w:noHBand="0" w:noVBand="0" w:val="0020"/>
        <w:jc w:val="start"/>
        <w:tblLayout w:type="fixed"/>
      </w:tblPr>
      <w:tblGrid>
        <w:gridCol w:w="4276"/>
        <w:gridCol w:w="6042"/>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Results presentation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the grant starts.</w:t>
      </w:r>
      <w:r>
        <w:t xml:space="preserve"> </w:t>
      </w:r>
      <w:r>
        <w:t xml:space="preserve">Advanced before month 1, outside grant funding:</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prototype already exists</w:t>
      </w:r>
      <w:r>
        <w:t xml:space="preserve">) and on the fallbacks above, each leaving the central question answerable with the claim narrowed and the narrowing stated.</w:t>
      </w:r>
    </w:p>
    <w:p>
      <w:r>
        <w:pict>
          <v:rect style="width:0;height:1.5pt" o:hralign="center" o:hrstd="t" o:hr="t"/>
        </w:pict>
      </w:r>
    </w:p>
    <w:bookmarkEnd w:id="70"/>
    <w:bookmarkEnd w:id="71"/>
    <w:bookmarkStart w:id="76" w:name="X10aa73bd92b9e3b0d0e8f9aceaa1d28354da000"/>
    <w:p>
      <w:pPr>
        <w:pStyle w:val="Heading2"/>
      </w:pPr>
      <w:r>
        <w:t xml:space="preserve">2.4 Schedule and milestones</w:t>
      </w:r>
    </w:p>
    <w:p>
      <w:pPr>
        <w:pStyle w:val="FirstParagraph"/>
      </w:pPr>
      <w:r>
        <w:drawing>
          <wp:inline>
            <wp:extent cx="5334000" cy="3189732"/>
            <wp:effectExtent b="0" l="0" r="0" t="0"/>
            <wp:docPr descr="Work plan" title="" id="73" name="Picture"/>
            <a:graphic>
              <a:graphicData uri="http://schemas.openxmlformats.org/drawingml/2006/picture">
                <pic:pic>
                  <pic:nvPicPr>
                    <pic:cNvPr descr="figures/fig2-gantt.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334000" cy="3189732"/>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p>
      <w:pPr>
        <w:pStyle w:val="BodyText"/>
      </w:pPr>
      <w:r>
        <w:rPr>
          <w:bCs/>
          <w:b/>
        </w:rPr>
        <w:t xml:space="preserve">Who does what.</w:t>
      </w:r>
      <w:r>
        <w:t xml:space="preserve"> </w:t>
      </w:r>
      <w:r>
        <w:t xml:space="preserve">I execute WP2 and WP3's confirmatory design personally, and lead WP1's</w:t>
      </w:r>
      <w:r>
        <w:t xml:space="preserve"> </w:t>
      </w:r>
      <w:r>
        <w:t xml:space="preserve">protocol, WP3's analysis and WP4's decision work. One</w:t>
      </w:r>
      <w:r>
        <w:t xml:space="preserve"> </w:t>
      </w:r>
      <w:r>
        <w:rPr>
          <w:bCs/>
          <w:b/>
        </w:rPr>
        <w:t xml:space="preserve">scientific/technical collaborator</w:t>
      </w:r>
      <w:r>
        <w:t xml:space="preserve"> </w:t>
      </w:r>
      <w:r>
        <w:t xml:space="preserve">(support personnel, 50% over 48 months) carries three fully specified tasks:</w:t>
      </w:r>
      <w:r>
        <w:t xml:space="preserve"> </w:t>
      </w:r>
      <w:r>
        <w:t xml:space="preserve">T1.2's second independent extractor, the T3.1–T3.2 harmonisation and rolling-origin pipeline,</w:t>
      </w:r>
      <w:r>
        <w:t xml:space="preserve"> </w:t>
      </w:r>
      <w:r>
        <w:t xml:space="preserve">and the reproducibility engineering behind D1.1 and D3.1. No other personnel are requested.</w:t>
      </w:r>
    </w:p>
    <w:p>
      <w:pPr>
        <w:pStyle w:val="BodyText"/>
      </w:pPr>
      <w:r>
        <w:t xml:space="preserve">The design avoids a serial chain: WP2 falls back to weakly informative priors if WP1 finds extraction inadequate, WP3 to open surveillance data if operational access is delayed, and WP4's decision analysis is retrospective.</w:t>
      </w:r>
      <w:r>
        <w:t xml:space="preserve"> </w:t>
      </w:r>
      <w:r>
        <w:rPr>
          <w:bCs/>
          <w:b/>
        </w:rPr>
        <w:t xml:space="preserve">What the data fallback costs:</w:t>
      </w:r>
      <w:r>
        <w:t xml:space="preserve"> </w:t>
      </w:r>
      <w:r>
        <w:t xml:space="preserve">Open surveillance series are not emergency-system demand. Falling back</w:t>
      </w:r>
      <w:r>
        <w:t xml:space="preserve"> </w:t>
      </w:r>
      <w:r>
        <w:rPr>
          <w:bCs/>
          <w:b/>
        </w:rPr>
        <w:t xml:space="preserve">preserves the methodological test but narrows the outcome claim</w:t>
      </w:r>
      <w:r>
        <w:t xml:space="preserve"> </w:t>
      </w:r>
      <w:r>
        <w:t xml:space="preserve">to routinely observed crisis indicators, and turns most of WP4 illustrative. Hence the agreements are a pre-award action, not a risk to manage later.</w:t>
      </w:r>
    </w:p>
    <w:tbl>
      <w:tblPr>
        <w:tblStyle w:val="Table"/>
        <w:tblW w:w="10318" w:type="dxa"/>
        <w:tblLook w:firstRow="1" w:lastRow="0" w:firstColumn="0" w:lastColumn="0" w:noHBand="0" w:noVBand="0" w:val="0020"/>
        <w:jc w:val="start"/>
        <w:tblLayout w:type="fixed"/>
      </w:tblPr>
      <w:tblGrid>
        <w:gridCol w:w="1508"/>
        <w:gridCol w:w="1300"/>
        <w:gridCol w:w="7510"/>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on the pre-specified ladder</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and prospective validation where feasible</w:t>
            </w:r>
          </w:p>
        </w:tc>
      </w:tr>
    </w:tbl>
    <w:p>
      <w:r>
        <w:pict>
          <v:rect style="width:0;height:1.5pt" o:hralign="center" o:hrstd="t" o:hr="t"/>
        </w:pict>
      </w:r>
    </w:p>
    <w:bookmarkEnd w:id="76"/>
    <w:bookmarkStart w:id="77" w:name="Xfa74544992b8a2e9fab533cfaf936bad7ec032c"/>
    <w:p>
      <w:pPr>
        <w:pStyle w:val="Heading2"/>
      </w:pPr>
      <w:r>
        <w:t xml:space="preserve">2.5 Relevance and impact</w:t>
      </w:r>
    </w:p>
    <w:p>
      <w:pPr>
        <w:pStyle w:val="FirstParagraph"/>
      </w:pPr>
      <w:r>
        <w:t xml:space="preserve">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routinely seed early-crisis models with parameters lifted from a few studies, and evidence-synthesis platforms (including my own) assume pooled estimates are reusable as priors; a calibrated null tells those groups the practice buys nothing where it is most used.</w:t>
      </w:r>
    </w:p>
    <w:p>
      <w:pPr>
        <w:pStyle w:val="BodyText"/>
      </w:pPr>
      <w:r>
        <w:rPr>
          <w:bCs/>
          <w:b/>
        </w:rPr>
        <w:t xml:space="preserve">Form of publication.</w:t>
      </w:r>
      <w:r>
        <w:t xml:space="preserve"> </w:t>
      </w:r>
      <w:r>
        <w:t xml:space="preserve">Peer-reviewed articles, preprints on submission, open access throughout; the benchmark, prior library and evaluation code as</w:t>
      </w:r>
      <w:r>
        <w:t xml:space="preserve"> </w:t>
      </w:r>
      <w:r>
        <w:rPr>
          <w:bCs/>
          <w:b/>
        </w:rPr>
        <w:t xml:space="preserve">citable, versioned open datasets and software</w:t>
      </w:r>
      <w:r>
        <w:t xml:space="preserve">; results returned to the operational partners.</w:t>
      </w:r>
    </w:p>
    <w:p>
      <w:pPr>
        <w:pStyle w:val="BodyText"/>
      </w:pPr>
      <w:r>
        <w:t xml:space="preserve">Three durable resources remain, subordinate to the central question:</w:t>
      </w:r>
      <w:r>
        <w:t xml:space="preserve"> </w:t>
      </w:r>
      <w:r>
        <w:rPr>
          <w:bCs/>
          <w:b/>
        </w:rPr>
        <w:t xml:space="preserve">a quantitative extraction benchmark</w:t>
      </w:r>
      <w:r>
        <w:t xml:space="preserve">;</w:t>
      </w:r>
      <w:r>
        <w:t xml:space="preserve"> </w:t>
      </w:r>
      <w:r>
        <w:rPr>
          <w:bCs/>
          <w:b/>
        </w:rPr>
        <w:t xml:space="preserve">an open reference framework</w:t>
      </w:r>
      <w:r>
        <w:t xml:space="preserve"> </w:t>
      </w:r>
      <w:r>
        <w:t xml:space="preserve">for evidence-informed latent-state forecasting;</w:t>
      </w:r>
      <w:r>
        <w:t xml:space="preserve"> </w:t>
      </w:r>
      <w:r>
        <w:rPr>
          <w:bCs/>
          <w:b/>
        </w:rPr>
        <w:t xml:space="preserve">a decision-analytic evaluation framework</w:t>
      </w:r>
      <w:r>
        <w:t xml:space="preserve">. The project is not a new extraction system, an early-warning indicator or a forecasting competition.</w:t>
      </w:r>
    </w:p>
    <w:p>
      <w:pPr>
        <w:pStyle w:val="BodyText"/>
      </w:pPr>
      <w:r>
        <w:rPr>
          <w:bCs/>
          <w:b/>
        </w:rPr>
        <w:t xml:space="preserve">Practical and societal impact.</w:t>
      </w:r>
      <w:r>
        <w:t xml:space="preserve"> </w:t>
      </w:r>
      <w:r>
        <w:t xml:space="preserve">The contribution is preparedness, not a promised deployment. 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contrasting domains show what transfers.</w:t>
      </w:r>
    </w:p>
    <w:bookmarkEnd w:id="77"/>
    <w:bookmarkStart w:id="78"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have not had is a research agenda that is mine to set. My UNIGE trajectory is stated in full below: none of these programmes has this project's objective.</w:t>
      </w:r>
    </w:p>
    <w:tbl>
      <w:tblPr>
        <w:tblStyle w:val="Table"/>
        <w:tblW w:w="10318" w:type="dxa"/>
        <w:tblLook w:firstRow="1" w:lastRow="0" w:firstColumn="0" w:lastColumn="0" w:noHBand="0" w:noVBand="0" w:val="0020"/>
        <w:jc w:val="start"/>
        <w:tblLayout w:type="fixed"/>
      </w:tblPr>
      <w:tblGrid>
        <w:gridCol w:w="1985"/>
        <w:gridCol w:w="3476"/>
        <w:gridCol w:w="1300"/>
        <w:gridCol w:w="355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Builds decision support; does not test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Builds infrastructure; does not test the inferential value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evidence-derived priors help cold-start forecasting, and when they harm</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from a problem I met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directs the MAS on which I teach, and leads the legionellosis study and GeoAI4EI; she co-authors my doctoral and post-doctoral output (the expected profile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research programme rather than continue as a member of an existing group, collaborating with the Institute's groups, including the one in which I developed LiteRev; the institutional guarantees of the PI's independence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two open resources the field can build on, and a first-author methodological record in my own name: the basis for a group-leadership position or professorship. The follow-on programme fuses evidence streams of different velocity in one calibrated state model; this project supplies its evidence base. My research time is currently divided across four collaborative programmes; Ambizione consolidates it into one.</w:t>
      </w:r>
    </w:p>
    <w:p>
      <w:r>
        <w:pict>
          <v:rect style="width:0;height:1.5pt" o:hralign="center" o:hrstd="t" o:hr="t"/>
        </w:pict>
      </w:r>
    </w:p>
    <w:bookmarkEnd w:id="78"/>
    <w:bookmarkEnd w:id="79"/>
    <w:bookmarkStart w:id="92" w:name="bibliography"/>
    <w:p>
      <w:pPr>
        <w:pStyle w:val="Heading1"/>
      </w:pPr>
      <w:r>
        <w:t xml:space="preserve">Bibliography</w:t>
      </w:r>
    </w:p>
    <w:bookmarkStart w:id="80"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80"/>
    <w:bookmarkStart w:id="81"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81"/>
    <w:bookmarkStart w:id="82"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of more than 50 authors;</w:t>
      </w:r>
      <w:r>
        <w:t xml:space="preserve"> </w:t>
      </w:r>
      <w:r>
        <w:t xml:space="preserve">shortening permitted by the guidelines).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of more than 50 authors;</w:t>
      </w:r>
      <w:r>
        <w:t xml:space="preserve"> </w:t>
      </w:r>
      <w:r>
        <w:t xml:space="preserve">shortening permitted by the guidelines).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2"/>
    <w:bookmarkStart w:id="83" w:name="evidence-as-prior-information"/>
    <w:p>
      <w:pPr>
        <w:pStyle w:val="Heading2"/>
      </w:pPr>
      <w:r>
        <w:t xml:space="preserve">Evidence as prior information</w:t>
      </w:r>
    </w:p>
    <w:p>
      <w:pPr>
        <w:numPr>
          <w:ilvl w:val="0"/>
          <w:numId w:val="1005"/>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5"/>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5"/>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5"/>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3"/>
    <w:bookmarkStart w:id="84" w:name="automated-extraction"/>
    <w:p>
      <w:pPr>
        <w:pStyle w:val="Heading2"/>
      </w:pPr>
      <w:r>
        <w:t xml:space="preserve">Automated extraction</w:t>
      </w:r>
    </w:p>
    <w:p>
      <w:pPr>
        <w:numPr>
          <w:ilvl w:val="0"/>
          <w:numId w:val="1006"/>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6"/>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4"/>
    <w:bookmarkStart w:id="85" w:name="transportability"/>
    <w:p>
      <w:pPr>
        <w:pStyle w:val="Heading2"/>
      </w:pPr>
      <w:r>
        <w:t xml:space="preserve">Transportability</w:t>
      </w:r>
    </w:p>
    <w:p>
      <w:pPr>
        <w:numPr>
          <w:ilvl w:val="0"/>
          <w:numId w:val="1007"/>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7"/>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7"/>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5"/>
    <w:bookmarkStart w:id="86" w:name="Xe9922e1c5762c88228c0c87eec70e80a7dd8e43"/>
    <w:p>
      <w:pPr>
        <w:pStyle w:val="Heading2"/>
      </w:pPr>
      <w:r>
        <w:t xml:space="preserve">Critical slowing down and resilience indicators</w:t>
      </w:r>
    </w:p>
    <w:p>
      <w:pPr>
        <w:numPr>
          <w:ilvl w:val="0"/>
          <w:numId w:val="1008"/>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8"/>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8"/>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8"/>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6"/>
    <w:bookmarkStart w:id="87" w:name="conformal-prediction"/>
    <w:p>
      <w:pPr>
        <w:pStyle w:val="Heading2"/>
      </w:pPr>
      <w:r>
        <w:t xml:space="preserve">Conformal prediction</w:t>
      </w:r>
    </w:p>
    <w:p>
      <w:pPr>
        <w:numPr>
          <w:ilvl w:val="0"/>
          <w:numId w:val="1009"/>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9"/>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7"/>
    <w:bookmarkStart w:id="88" w:name="regime-switching-and-extremes"/>
    <w:p>
      <w:pPr>
        <w:pStyle w:val="Heading2"/>
      </w:pPr>
      <w:r>
        <w:t xml:space="preserve">Regime switching and extremes</w:t>
      </w:r>
    </w:p>
    <w:p>
      <w:pPr>
        <w:numPr>
          <w:ilvl w:val="0"/>
          <w:numId w:val="1010"/>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0"/>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0"/>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8"/>
    <w:bookmarkStart w:id="89" w:name="heat-air-quality-and-emergency-demand"/>
    <w:p>
      <w:pPr>
        <w:pStyle w:val="Heading2"/>
      </w:pPr>
      <w:r>
        <w:t xml:space="preserve">Heat, air quality and emergency demand</w:t>
      </w:r>
    </w:p>
    <w:p>
      <w:pPr>
        <w:numPr>
          <w:ilvl w:val="0"/>
          <w:numId w:val="1011"/>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1"/>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1"/>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1"/>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9"/>
    <w:bookmarkStart w:id="90" w:name="evaluation-and-decision-value"/>
    <w:p>
      <w:pPr>
        <w:pStyle w:val="Heading2"/>
      </w:pPr>
      <w:r>
        <w:t xml:space="preserve">Evaluation and decision value</w:t>
      </w:r>
    </w:p>
    <w:p>
      <w:pPr>
        <w:numPr>
          <w:ilvl w:val="0"/>
          <w:numId w:val="1012"/>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2"/>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2"/>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90"/>
    <w:bookmarkStart w:id="91" w:name="own-work-cited-in-the-plan"/>
    <w:p>
      <w:pPr>
        <w:pStyle w:val="Heading2"/>
      </w:pPr>
      <w:r>
        <w:t xml:space="preserve">Own work cited in the plan</w:t>
      </w:r>
    </w:p>
    <w:p>
      <w:pPr>
        <w:numPr>
          <w:ilvl w:val="0"/>
          <w:numId w:val="1013"/>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3"/>
        </w:numPr>
        <w:pStyle w:val="Compact"/>
      </w:pPr>
      <w:r>
        <w:rPr>
          <w:bCs/>
          <w:b/>
        </w:rPr>
        <w:t xml:space="preserve">[Orel 2024]</w:t>
      </w:r>
      <w:r>
        <w:t xml:space="preserve"> </w:t>
      </w:r>
      <w:r>
        <w:t xml:space="preserve">Orel E, Sobel J, Zanella MC, Iten A, Kaiser L, Keiser O, Vetter P. Difference</w:t>
      </w:r>
      <w:r>
        <w:t xml:space="preserve"> </w:t>
      </w:r>
      <w:r>
        <w:t xml:space="preserve">in clinical severity between Delta variant and Omicron sub-lineages in a Swiss tertiary</w:t>
      </w:r>
      <w:r>
        <w:t xml:space="preserve"> </w:t>
      </w:r>
      <w:r>
        <w:t xml:space="preserve">center.</w:t>
      </w:r>
      <w:r>
        <w:t xml:space="preserve"> </w:t>
      </w:r>
      <w:r>
        <w:rPr>
          <w:iCs/>
          <w:i/>
        </w:rPr>
        <w:t xml:space="preserve">CMI Communications</w:t>
      </w:r>
      <w:r>
        <w:t xml:space="preserve"> </w:t>
      </w:r>
      <w:r>
        <w:t xml:space="preserve">2024.</w:t>
      </w:r>
    </w:p>
    <w:p>
      <w:pPr>
        <w:numPr>
          <w:ilvl w:val="0"/>
          <w:numId w:val="1013"/>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3"/>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3"/>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3"/>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3"/>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1"/>
    <w:bookmarkEnd w:id="92"/>
    <w:sectPr>
      <w:pgSz w:w="11906" w:h="16838"/>
      <w:pgMar w:top="794" w:right="794" w:bottom="794" w:left="79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pPr>
    <w:rPr>
      <w:sz w:val="20"/>
      <w:szCs w:val="20"/>
    </w:rPr>
  </w:style>
  <w:style w:styleId="BodyText" w:type="paragraph">
    <w:name w:val="Body Text"/>
    <w:basedOn w:val="Normal"/>
    <w:link w:val="BodyTextChar"/>
    <w:pPr>
      <w:spacing w:after="20" w:before="0" w:line="360" w:lineRule="auto"/>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pPr>
  </w:style>
  <w:style w:customStyle="1" w:styleId="Compact" w:type="paragraph">
    <w:name w:val="Compact"/>
    <w:basedOn w:val="BodyText"/>
    <w:qFormat/>
    <w:pPr>
      <w:spacing w:after="20" w:before="0" w:line="360" w:lineRule="auto"/>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svgz" /><Relationship Type="http://schemas.openxmlformats.org/officeDocument/2006/relationships/image" Id="rId72" Target="media/rId72.svgz" /><Relationship Type="http://schemas.openxmlformats.org/officeDocument/2006/relationships/image" Id="rId37" Target="media/rId37.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2026-10-06T18:47:59Z</dcterms:created>
  <dcterms:modified xsi:type="dcterms:W3CDTF">2026-10-06T18:47:59Z</dcterms:modified>
</cp:coreProperties>
</file>

<file path=docProps/custom.xml><?xml version="1.0" encoding="utf-8"?>
<Properties xmlns="http://schemas.openxmlformats.org/officeDocument/2006/custom-properties" xmlns:vt="http://schemas.openxmlformats.org/officeDocument/2006/docPropsVTypes"/>
</file>