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(the median log-ratio of the standard deviations) is reported. A ratio below one (a log-ratio below zero) means the automated extraction made the distribution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After the data audit, the final order and the chosen target are recorded, before any forecast performance is examined.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daily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daily HUG COVID-19 hospitalisation series I analysed before [35] may be requested again as an extra check.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 Both conditions are judged with uncertainty bounds across the registered simulation runs, not on point estimates alone.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 (daily)</w:t>
            </w:r>
          </w:p>
        </w:tc>
        <w:tc>
          <w:tcPr/>
          <w:p>
            <w:pPr>
              <w:pStyle w:val="Compact"/>
            </w:pPr>
          </w:p>
        </w:tc>
        <w:tc>
          <w:tcPr/>
          <w:p>
            <w:pPr>
              <w:pStyle w:val="Compact"/>
              <w:jc w:val="left"/>
            </w:pPr>
            <w:r>
              <w:t xml:space="preserve">Additional check series, previously analysed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2026-10-15T06:36:45Z</dcterms:created>
  <dcterms:modified xsi:type="dcterms:W3CDTF">2026-10-15T06:36:45Z</dcterms:modified>
</cp:coreProperties>
</file>

<file path=docProps/custom.xml><?xml version="1.0" encoding="utf-8"?>
<Properties xmlns="http://schemas.openxmlformats.org/officeDocument/2006/custom-properties" xmlns:vt="http://schemas.openxmlformats.org/officeDocument/2006/docPropsVTypes"/>
</file>