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0E39" w:rsidRDefault="004F0592">
      <w:pPr>
        <w:pStyle w:val="FirstParagraph"/>
      </w:pPr>
      <w:r>
        <w:rPr>
          <w:b/>
          <w:bCs/>
        </w:rPr>
        <w:t>HEADSTART - Prévoir les crises sanitaires à partir des données publiées quand les données locales manquent</w:t>
      </w:r>
    </w:p>
    <w:p w:rsidR="00130E39" w:rsidRDefault="004F0592">
      <w:pPr>
        <w:pStyle w:val="BodyText"/>
      </w:pPr>
      <w:r>
        <w:t>Candidature Ambizione FNS (dépôt : 3 novembre 2026) · Requérant : Dr Erol Orel · Hôte</w:t>
      </w:r>
      <w:r w:rsidR="0051526C">
        <w:t xml:space="preserve"> </w:t>
      </w:r>
      <w:r>
        <w:t xml:space="preserve">: </w:t>
      </w:r>
      <w:r>
        <w:t xml:space="preserve">Institut de santé globale, Faculté de médecine, UNIGE </w:t>
      </w:r>
      <w:r>
        <w:t>· Durée : 4 ans</w:t>
      </w:r>
    </w:p>
    <w:p w:rsidR="00130E39" w:rsidRDefault="004F0592">
      <w:pPr>
        <w:pStyle w:val="Heading2"/>
      </w:pPr>
      <w:bookmarkStart w:id="0" w:name="le-problème"/>
      <w:r>
        <w:t>Le problème</w:t>
      </w:r>
    </w:p>
    <w:p w:rsidR="00130E39" w:rsidRDefault="004F0592">
      <w:pPr>
        <w:pStyle w:val="FirstParagraph"/>
      </w:pPr>
      <w:r>
        <w:t>Quand une crise sanitaire commence, les données locales nécessaires pour la prévoir n’existent pas encore. Les modèles les plus performan</w:t>
      </w:r>
      <w:r>
        <w:t>ts exigent plusieurs années d’historique ; ils sont donc les plus faibles exactement là où les décisions - armer des ambulances, ouvrir des lits, déclencher une escalade - sont les plus coûteuses et les moins réversibles.</w:t>
      </w:r>
    </w:p>
    <w:p w:rsidR="00130E39" w:rsidRDefault="004F0592">
      <w:pPr>
        <w:pStyle w:val="BodyText"/>
      </w:pPr>
      <w:r>
        <w:t>Il existe pourtant une information</w:t>
      </w:r>
      <w:r>
        <w:t xml:space="preserve"> quantitative disponible dès le premier jour : la littérature publiée sur des événements analogues - associations météo–demande, amplitudes et délais de surcharge, durées de séjour et occupation, paramètres de transmission. Elle n’est presque jamais utilis</w:t>
      </w:r>
      <w:r>
        <w:t>ée comme information a priori formelle, parce que personne n’a établi si le faire aide ou nuit.</w:t>
      </w:r>
    </w:p>
    <w:p w:rsidR="00130E39" w:rsidRDefault="004F0592">
      <w:pPr>
        <w:pStyle w:val="Heading2"/>
      </w:pPr>
      <w:bookmarkStart w:id="1" w:name="la-question"/>
      <w:bookmarkEnd w:id="0"/>
      <w:r>
        <w:t>La question</w:t>
      </w:r>
    </w:p>
    <w:p w:rsidR="00130E39" w:rsidRDefault="004F0592">
      <w:pPr>
        <w:pStyle w:val="FirstParagraph"/>
      </w:pPr>
      <w:r>
        <w:t>Le projet pose la question de bout en bout : l’évidence publiée peut-elle être extraite de façon fiable et transportée au contexte local pour prévoi</w:t>
      </w:r>
      <w:r>
        <w:t>r l’état du système de soins quand les données locales manquent ; peut-on détecter tôt quand elle induit en erreur ; le gain change-t-il des décisions opérationnelles ; et la chaîne complète peut-elle tourner automatiquement, vérifiée sur les issues observ</w:t>
      </w:r>
      <w:r>
        <w:t>ées, selon des règles pré-enregistrées ?</w:t>
      </w:r>
    </w:p>
    <w:p w:rsidR="00130E39" w:rsidRDefault="004F0592">
      <w:pPr>
        <w:pStyle w:val="BodyText"/>
      </w:pPr>
      <w:r>
        <w:t xml:space="preserve">Le projet s’appuie sur un existant : LiteRev-Evidence, le prototype d’extraction et de modélisation </w:t>
      </w:r>
      <w:r w:rsidR="0051526C">
        <w:t>en cours de développement</w:t>
      </w:r>
      <w:r>
        <w:t xml:space="preserve"> ; la cartographie des données constituée pour GESICA ; et l’étude légionellose genevoise en cour</w:t>
      </w:r>
      <w:r>
        <w:t>s (BASEC 2026-00324)</w:t>
      </w:r>
      <w:r>
        <w:t>.</w:t>
      </w:r>
    </w:p>
    <w:p w:rsidR="00130E39" w:rsidRDefault="0051526C">
      <w:pPr>
        <w:pStyle w:val="Heading2"/>
      </w:pPr>
      <w:bookmarkStart w:id="2" w:name="ce-que-je-ferai-cinq-volets-48-mois"/>
      <w:bookmarkEnd w:id="1"/>
      <w:r>
        <w:t>C</w:t>
      </w:r>
      <w:r w:rsidR="004F0592">
        <w:t>inq volets</w:t>
      </w:r>
    </w:p>
    <w:p w:rsidR="00130E39" w:rsidRDefault="004F0592">
      <w:pPr>
        <w:pStyle w:val="Compact"/>
        <w:numPr>
          <w:ilvl w:val="0"/>
          <w:numId w:val="2"/>
        </w:numPr>
      </w:pPr>
      <w:r>
        <w:rPr>
          <w:b/>
          <w:bCs/>
        </w:rPr>
        <w:t>Extraction</w:t>
      </w:r>
      <w:r>
        <w:t xml:space="preserve"> - mesurer la fiabilité de l’extraction automatique de paramètres quantitatifs depuis la littérature, contre un étalon en double extraction humaine, et </w:t>
      </w:r>
      <w:r>
        <w:t>corriger les biais identifiés ; la littérature fournit aussi les variables explicatives, les familles de modèles recommandées et les définitions d’issues et de seuils.</w:t>
      </w:r>
    </w:p>
    <w:p>
      <w:pPr>
        <w:pStyle w:val="Compact"/>
        <w:numPr>
          <w:ilvl w:val="0"/>
          <w:numId w:val="2"/>
        </w:numPr>
      </w:pPr>
      <w:r>
        <w:rPr>
          <w:b/>
        </w:rPr>
        <w:t xml:space="preserve">Modélisation</w:t>
      </w:r>
      <w:r>
        <w:rPr>
          <w:b/>
          <w:bCs/>
        </w:rPr>
        <w:t xml:space="preserve"> - représenter l’état du système de soins par des niveaux ordonnés de pression, dont le nombre et les seuils sont d’abord tirés de la littérature publiée (par défaut habituel / tendu / sous tension / critique), plutôt que par un seuil appliqué à une prévision ponctuelle ; les modèles épidémiologiques (type SEIR) n’interviennent que pour les crises épidémiologiques, les crises environnementales relevant de structures exposition–réponse.</w:t>
      </w:r>
    </w:p>
    <w:p w:rsidR="00130E39" w:rsidRDefault="004F0592">
      <w:pPr>
        <w:pStyle w:val="Compact"/>
        <w:numPr>
          <w:ilvl w:val="0"/>
          <w:numId w:val="2"/>
        </w:numPr>
      </w:pPr>
      <w:r>
        <w:rPr>
          <w:b/>
          <w:bCs/>
        </w:rPr>
        <w:t>Évaluation</w:t>
      </w:r>
      <w:r>
        <w:t xml:space="preserve"> - tester, épisode historique par épisode historique, si les a priori issus de la littérature améliorent la prévision en début de crise, en n’utilisant à chaque instant que les données et la littérature disponibles à cette </w:t>
      </w:r>
      <w:r>
        <w:t>date, avec sélection automatisée du meilleur modèle selon des règles pré-enregistrées.</w:t>
      </w:r>
    </w:p>
    <w:p w:rsidR="00130E39" w:rsidRDefault="004F0592">
      <w:pPr>
        <w:pStyle w:val="Compact"/>
        <w:numPr>
          <w:ilvl w:val="0"/>
          <w:numId w:val="2"/>
        </w:numPr>
      </w:pPr>
      <w:r>
        <w:rPr>
          <w:b/>
          <w:bCs/>
        </w:rPr>
        <w:t>Décision</w:t>
      </w:r>
      <w:r>
        <w:t xml:space="preserve"> - évaluer non pas la précision statistique mais le bénéfice décisionnel, à partir de seuils d’escalade recueillis de façon structurée (protocole SHELF) auprès d</w:t>
      </w:r>
      <w:r>
        <w:t>es régulateurs, urgentistes et gestionnaires de capacités.</w:t>
      </w:r>
    </w:p>
    <w:p w:rsidR="00130E39" w:rsidRDefault="004F0592">
      <w:pPr>
        <w:pStyle w:val="Compact"/>
        <w:numPr>
          <w:ilvl w:val="0"/>
          <w:numId w:val="2"/>
        </w:numPr>
      </w:pPr>
      <w:r>
        <w:rPr>
          <w:b/>
          <w:bCs/>
        </w:rPr>
        <w:t>Automatisation et veille</w:t>
      </w:r>
      <w:r>
        <w:t xml:space="preserve"> - données publiques connectées automatiquement ; modèles relancés à la cadence de chaque variable ; hypothèses statistiques vérifiées ; veille quotidienne de la littérature</w:t>
      </w:r>
      <w:r>
        <w:t xml:space="preserve"> ; en fin de projet, pour les types d’événements validés et sous réserve d’autorisation, un tableau de bord quotidien en mode observation, enregistré et évalué prospectivement, jamais décisionnel pendant le projet.</w:t>
      </w:r>
    </w:p>
    <w:p w:rsidR="00130E39" w:rsidRDefault="004F0592">
      <w:pPr>
        <w:pStyle w:val="Heading2"/>
      </w:pPr>
      <w:bookmarkStart w:id="3" w:name="comment-ce-sera-testé"/>
      <w:bookmarkEnd w:id="2"/>
      <w:r>
        <w:t>Comment ce sera testé</w:t>
      </w:r>
    </w:p>
    <w:p w:rsidR="00130E39" w:rsidRDefault="004F0592">
      <w:pPr>
        <w:pStyle w:val="FirstParagraph"/>
      </w:pPr>
      <w:r>
        <w:t>Trois archétypes ge</w:t>
      </w:r>
      <w:r>
        <w:t xml:space="preserve">nevois, fixés pour toute la durée du projet : les </w:t>
      </w:r>
      <w:r>
        <w:rPr>
          <w:b/>
          <w:bCs/>
        </w:rPr>
        <w:t>épidémies respiratoires</w:t>
      </w:r>
      <w:r>
        <w:t xml:space="preserve"> (SARS-CoV-2, grippe, VRS) portent le test confirmatoire ; la </w:t>
      </w:r>
      <w:r>
        <w:rPr>
          <w:b/>
          <w:bCs/>
        </w:rPr>
        <w:t>canicule</w:t>
      </w:r>
      <w:r>
        <w:t xml:space="preserve"> (avec la pollution de l’air comme co-exposition) porte le test de généralisation, conduit seulement si le premie</w:t>
      </w:r>
      <w:r>
        <w:t xml:space="preserve">r réussit ; la </w:t>
      </w:r>
      <w:r>
        <w:rPr>
          <w:b/>
          <w:bCs/>
        </w:rPr>
        <w:t>légionellose</w:t>
      </w:r>
      <w:r>
        <w:t xml:space="preserve"> genevoise est l’extension contrastante de quatrième année (incidence de cas). Deux </w:t>
      </w:r>
      <w:r>
        <w:lastRenderedPageBreak/>
        <w:t xml:space="preserve">bras - avec et sans évidence - passent par la même sélection automatisée pré-enregistrée ; la machinerie est d’abord validée de bout en bout sur </w:t>
      </w:r>
      <w:r>
        <w:t xml:space="preserve">des </w:t>
      </w:r>
      <w:r>
        <w:rPr>
          <w:b/>
          <w:bCs/>
        </w:rPr>
        <w:t>données publiques ouvertes</w:t>
      </w:r>
      <w:r>
        <w:t xml:space="preserve"> (benchmark public), puis sur les séries opérationnelles genevoises.</w:t>
      </w:r>
    </w:p>
    <w:p w:rsidR="00130E39" w:rsidRDefault="004F0592">
      <w:pPr>
        <w:pStyle w:val="Heading2"/>
      </w:pPr>
      <w:bookmarkStart w:id="4" w:name="les-données"/>
      <w:bookmarkEnd w:id="3"/>
      <w:r>
        <w:t>Les données</w:t>
      </w:r>
    </w:p>
    <w:p w:rsidR="00130E39" w:rsidRDefault="004F0592">
      <w:pPr>
        <w:pStyle w:val="FirstParagraph"/>
      </w:pPr>
      <w:r>
        <w:t xml:space="preserve">Uniquement des </w:t>
      </w:r>
      <w:r>
        <w:rPr>
          <w:b/>
          <w:bCs/>
        </w:rPr>
        <w:t>extraits rétrospectifs agrégés au jour</w:t>
      </w:r>
      <w:r>
        <w:t xml:space="preserve"> : aucun identifiant, aucune donnée individuelle, aucun enregistrement vocal, aucun texte li</w:t>
      </w:r>
      <w:r>
        <w:t xml:space="preserve">bre. Le périmètre est le canton de Genève : données de régulation du 144 </w:t>
      </w:r>
      <w:r>
        <w:t xml:space="preserve">; passages aux urgences et occupation des soins intensifs </w:t>
      </w:r>
      <w:r>
        <w:t>; médecin et pharmacien cantonaux et SIG pour les volets environn</w:t>
      </w:r>
      <w:r>
        <w:t xml:space="preserve">ementaux. </w:t>
      </w:r>
      <w:r w:rsidR="0051526C">
        <w:t xml:space="preserve">Ainsi que toutes les autres données en accès libre (climatique, démographique, etc…). </w:t>
      </w:r>
      <w:proofErr w:type="spellStart"/>
      <w:r>
        <w:t>L’accès</w:t>
      </w:r>
      <w:proofErr w:type="spellEnd"/>
      <w:r>
        <w:t xml:space="preserve"> opérationnel passerait par la </w:t>
      </w:r>
      <w:r>
        <w:rPr>
          <w:b/>
          <w:bCs/>
        </w:rPr>
        <w:t>voie officielle : une soumission à la CCER</w:t>
      </w:r>
      <w:bookmarkStart w:id="5" w:name="équipe-et-calendrier"/>
      <w:bookmarkEnd w:id="4"/>
      <w:r w:rsidR="0051526C">
        <w:t>.</w:t>
      </w:r>
      <w:bookmarkStart w:id="6" w:name="_GoBack"/>
      <w:bookmarkEnd w:id="5"/>
      <w:bookmarkEnd w:id="6"/>
    </w:p>
    <w:sectPr w:rsidR="00130E39">
      <w:pgSz w:w="11906" w:h="16838"/>
      <w:pgMar w:top="760" w:right="880" w:bottom="760" w:left="8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0592" w:rsidRDefault="004F0592">
      <w:pPr>
        <w:spacing w:after="0"/>
      </w:pPr>
      <w:r>
        <w:separator/>
      </w:r>
    </w:p>
  </w:endnote>
  <w:endnote w:type="continuationSeparator" w:id="0">
    <w:p w:rsidR="004F0592" w:rsidRDefault="004F059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0592" w:rsidRDefault="004F0592">
      <w:r>
        <w:separator/>
      </w:r>
    </w:p>
  </w:footnote>
  <w:footnote w:type="continuationSeparator" w:id="0">
    <w:p w:rsidR="004F0592" w:rsidRDefault="004F05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CD6E00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1406854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0E39"/>
    <w:rsid w:val="00130E39"/>
    <w:rsid w:val="004F0592"/>
    <w:rsid w:val="0051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DF156"/>
  <w15:docId w15:val="{2FB4C223-DB55-4802-991A-056CAD0F3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6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jc w:val="both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2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12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12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680</Words>
  <Characters>3879</Characters>
  <Application>Microsoft Office Word</Application>
  <DocSecurity>0</DocSecurity>
  <Lines>32</Lines>
  <Paragraphs>9</Paragraphs>
  <ScaleCrop>false</ScaleCrop>
  <Company>Université de Genève</Company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Erol Orel</cp:lastModifiedBy>
  <cp:revision>2</cp:revision>
  <dcterms:created xsi:type="dcterms:W3CDTF">2026-10-08T12:42:00Z</dcterms:created>
  <dcterms:modified xsi:type="dcterms:W3CDTF">2026-10-08T14:03:00Z</dcterms:modified>
</cp:coreProperties>
</file>