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ac2531bd988380c79ef858bece45653ba58593"/>
    <w:p>
      <w:pPr>
        <w:pStyle w:val="Heading1"/>
      </w:pPr>
      <w:r>
        <w:t xml:space="preserve">One-page project note: attach to the request</w:t>
      </w:r>
    </w:p>
    <w:p>
      <w:pPr>
        <w:pStyle w:val="FirstParagraph"/>
      </w:pPr>
      <w:r>
        <w:rPr>
          <w:bCs/>
          <w:b/>
        </w:rPr>
        <w:t xml:space="preserve">COLDSTART - Prévoir les crises sanitaires quand les données locales manquent</w:t>
      </w:r>
      <w:r>
        <w:t xml:space="preserve"> </w:t>
      </w:r>
      <w:r>
        <w:t xml:space="preserve">Candidature Ambizione FNS · Requérant : Dr Erol Orel · Hôte : Institut de santé globale, Faculté</w:t>
      </w:r>
      <w:r>
        <w:t xml:space="preserve"> </w:t>
      </w:r>
      <w:r>
        <w:t xml:space="preserve">de médecine, UNIGE (programme de recherche indépendant) · Durée : 4 ans</w:t>
      </w:r>
    </w:p>
    <w:bookmarkStart w:id="20" w:name="le-problème"/>
    <w:p>
      <w:pPr>
        <w:pStyle w:val="Heading2"/>
      </w:pPr>
      <w:r>
        <w:t xml:space="preserve">Le problème</w:t>
      </w:r>
    </w:p>
    <w:p>
      <w:pPr>
        <w:pStyle w:val="FirstParagraph"/>
      </w:pPr>
      <w:r>
        <w:t xml:space="preserve">Quand une crise sanitaire commence, les données locales nécessaires pour la prévoir n'existent pas</w:t>
      </w:r>
      <w:r>
        <w:t xml:space="preserve"> </w:t>
      </w:r>
      <w:r>
        <w:t xml:space="preserve">encore. Les modèles les plus performants exigent plusieurs années d'historique ; ils sont donc les</w:t>
      </w:r>
      <w:r>
        <w:t xml:space="preserve"> </w:t>
      </w:r>
      <w:r>
        <w:t xml:space="preserve">plus faibles exactement là où les décisions sont les plus coûteuses et les moins réversibles.</w:t>
      </w:r>
    </w:p>
    <w:p>
      <w:pPr>
        <w:pStyle w:val="BodyText"/>
      </w:pPr>
      <w:r>
        <w:t xml:space="preserve">Il existe pourtant une information disponible dès le premier jour : la littérature publiée sur des</w:t>
      </w:r>
      <w:r>
        <w:t xml:space="preserve"> </w:t>
      </w:r>
      <w:r>
        <w:t xml:space="preserve">événements analogues - associations météo–demande, amplitudes de surcharge, paramètres de</w:t>
      </w:r>
      <w:r>
        <w:t xml:space="preserve"> </w:t>
      </w:r>
      <w:r>
        <w:t xml:space="preserve">transmission. Elle n'est pas utilisée quantitativement, parce que personne n'a établi si le faire</w:t>
      </w:r>
      <w:r>
        <w:t xml:space="preserve"> </w:t>
      </w:r>
      <w:r>
        <w:t xml:space="preserve">aide ou nuit.</w:t>
      </w:r>
    </w:p>
    <w:bookmarkEnd w:id="20"/>
    <w:bookmarkStart w:id="21" w:name="ce-que-le-projet-fait"/>
    <w:p>
      <w:pPr>
        <w:pStyle w:val="Heading2"/>
      </w:pPr>
      <w:r>
        <w:t xml:space="preserve">Ce que le projet fait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Extraction</w:t>
      </w:r>
      <w:r>
        <w:t xml:space="preserve"> </w:t>
      </w:r>
      <w:r>
        <w:t xml:space="preserve">- mesurer la fiabilité de l'extraction automatique de paramètres quantitatifs</w:t>
      </w:r>
      <w:r>
        <w:t xml:space="preserve"> </w:t>
      </w:r>
      <w:r>
        <w:t xml:space="preserve">depuis la littérature, et corriger le biais identifié. Le projet s'appuie sur LiteRev-Evidence,</w:t>
      </w:r>
      <w:r>
        <w:t xml:space="preserve"> </w:t>
      </w:r>
      <w:r>
        <w:t xml:space="preserve">le prototype que j'ai développé (recherche fédérée dans la littérature ouverte, criblage,</w:t>
      </w:r>
      <w:r>
        <w:t xml:space="preserve"> </w:t>
      </w:r>
      <w:r>
        <w:t xml:space="preserve">extraction avec provenance), que le projet transforme en instrument validé.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Modélisation</w:t>
      </w:r>
      <w:r>
        <w:t xml:space="preserve"> </w:t>
      </w:r>
      <w:r>
        <w:t xml:space="preserve">- représenter l'état du système de soins comme un</w:t>
      </w:r>
      <w:r>
        <w:t xml:space="preserve"> </w:t>
      </w:r>
      <w:r>
        <w:rPr>
          <w:bCs/>
          <w:b/>
        </w:rPr>
        <w:t xml:space="preserve">processus à régimes</w:t>
      </w:r>
      <w:r>
        <w:rPr>
          <w:bCs/>
          <w:b/>
        </w:rPr>
        <w:t xml:space="preserve"> </w:t>
      </w:r>
      <w:r>
        <w:rPr>
          <w:bCs/>
          <w:b/>
        </w:rPr>
        <w:t xml:space="preserve">latents</w:t>
      </w:r>
      <w:r>
        <w:t xml:space="preserve"> </w:t>
      </w:r>
      <w:r>
        <w:t xml:space="preserve">(habituel / tendu / sous tension / critique) plutôt que comme un seuil appliqué à une</w:t>
      </w:r>
      <w:r>
        <w:t xml:space="preserve"> </w:t>
      </w:r>
      <w:r>
        <w:t xml:space="preserve">prévision ponctuelle, avec une modélisation de la queue de distribution pour l'état critique.</w:t>
      </w:r>
      <w:r>
        <w:t xml:space="preserve"> </w:t>
      </w:r>
      <w:r>
        <w:t xml:space="preserve">Ces outils viennent de l'économétrie financière, où j'ai travaillé quinze ans.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Évaluation</w:t>
      </w:r>
      <w:r>
        <w:t xml:space="preserve"> </w:t>
      </w:r>
      <w:r>
        <w:t xml:space="preserve">- tester si les a priori issus de la littérature améliorent la prévision en</w:t>
      </w:r>
      <w:r>
        <w:t xml:space="preserve"> </w:t>
      </w:r>
      <w:r>
        <w:t xml:space="preserve">début de crise, en n'utilisant à chaque instant que les données</w:t>
      </w:r>
      <w:r>
        <w:t xml:space="preserve"> </w:t>
      </w:r>
      <w:r>
        <w:rPr>
          <w:iCs/>
          <w:i/>
        </w:rPr>
        <w:t xml:space="preserve">et la littérature</w:t>
      </w:r>
      <w:r>
        <w:t xml:space="preserve"> </w:t>
      </w:r>
      <w:r>
        <w:t xml:space="preserve">disponibles</w:t>
      </w:r>
      <w:r>
        <w:t xml:space="preserve"> </w:t>
      </w:r>
      <w:r>
        <w:t xml:space="preserve">à cette date.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Décision</w:t>
      </w:r>
      <w:r>
        <w:t xml:space="preserve"> </w:t>
      </w:r>
      <w:r>
        <w:t xml:space="preserve">- évaluer non pas la précision statistique mais</w:t>
      </w:r>
      <w:r>
        <w:t xml:space="preserve"> </w:t>
      </w:r>
      <w:r>
        <w:rPr>
          <w:bCs/>
          <w:b/>
        </w:rPr>
        <w:t xml:space="preserve">le bénéfice décisionnel</w:t>
      </w:r>
      <w:r>
        <w:t xml:space="preserve">, à</w:t>
      </w:r>
      <w:r>
        <w:t xml:space="preserve"> </w:t>
      </w:r>
      <w:r>
        <w:t xml:space="preserve">partir de seuils d'escalade recueillis auprès de celles et ceux qui agissent dessus.</w:t>
      </w:r>
    </w:p>
    <w:bookmarkEnd w:id="21"/>
    <w:bookmarkStart w:id="22" w:name="X5be847ac80c897fa107f88da90aaee5894ad77c"/>
    <w:p>
      <w:pPr>
        <w:pStyle w:val="Heading2"/>
      </w:pPr>
      <w:r>
        <w:t xml:space="preserve">Ce que je demanderais aux HUG / à la CASU 144</w:t>
      </w:r>
    </w:p>
    <w:p>
      <w:pPr>
        <w:pStyle w:val="FirstParagraph"/>
      </w:pPr>
      <w:r>
        <w:t xml:space="preserve">Un</w:t>
      </w:r>
      <w:r>
        <w:t xml:space="preserve"> </w:t>
      </w:r>
      <w:r>
        <w:rPr>
          <w:bCs/>
          <w:b/>
        </w:rPr>
        <w:t xml:space="preserve">extrait rétrospectif agrégé au jour</w:t>
      </w:r>
      <w:r>
        <w:t xml:space="preserve"> </w:t>
      </w:r>
      <w:r>
        <w:t xml:space="preserve">: date, effectifs par motif de recours / catégorie</w:t>
      </w:r>
      <w:r>
        <w:t xml:space="preserve"> </w:t>
      </w:r>
      <w:r>
        <w:t xml:space="preserve">large et degré d'urgence (144), ou par catégorie de passage (urgences), idéalement par classe</w:t>
      </w:r>
      <w:r>
        <w:t xml:space="preserve"> </w:t>
      </w:r>
      <w:r>
        <w:t xml:space="preserve">d'âge large. Aucun identifiant direct, aucun texte libre. L'accès se ferait sous approbation</w:t>
      </w:r>
      <w:r>
        <w:t xml:space="preserve"> </w:t>
      </w:r>
      <w:r>
        <w:t xml:space="preserve">CCER, avec moi comme requérant. Les données de régulation du 144 constituent la</w:t>
      </w:r>
      <w:r>
        <w:t xml:space="preserve"> </w:t>
      </w:r>
      <w:r>
        <w:rPr>
          <w:bCs/>
          <w:b/>
        </w:rPr>
        <w:t xml:space="preserve">série d'issue</w:t>
      </w:r>
      <w:r>
        <w:rPr>
          <w:bCs/>
          <w:b/>
        </w:rPr>
        <w:t xml:space="preserve"> </w:t>
      </w:r>
      <w:r>
        <w:rPr>
          <w:bCs/>
          <w:b/>
        </w:rPr>
        <w:t xml:space="preserve">principale</w:t>
      </w:r>
      <w:r>
        <w:t xml:space="preserve"> </w:t>
      </w:r>
      <w:r>
        <w:t xml:space="preserve">; le critère principal est la demande à motif respiratoire, celui du volet canicule</w:t>
      </w:r>
      <w:r>
        <w:t xml:space="preserve"> </w:t>
      </w:r>
      <w:r>
        <w:t xml:space="preserve">la demande à motifs sensibles à la chaleur (déshydratation, rénal, psychiatrique) - d'où</w:t>
      </w:r>
      <w:r>
        <w:t xml:space="preserve"> </w:t>
      </w:r>
      <w:r>
        <w:t xml:space="preserve">l'importance de catégories de motifs couvrant les deux. Les passages aux urgences et l'occupation</w:t>
      </w:r>
      <w:r>
        <w:t xml:space="preserve"> </w:t>
      </w:r>
      <w:r>
        <w:t xml:space="preserve">des soins intensifs sont des canaux d'observation complémentaires.</w:t>
      </w:r>
    </w:p>
    <w:bookmarkEnd w:id="22"/>
    <w:bookmarkStart w:id="23" w:name="ce-que-vous-y-gagnez"/>
    <w:p>
      <w:pPr>
        <w:pStyle w:val="Heading2"/>
      </w:pPr>
      <w:r>
        <w:t xml:space="preserve">Ce que vous y gagnez</w:t>
      </w:r>
    </w:p>
    <w:p>
      <w:pPr>
        <w:numPr>
          <w:ilvl w:val="0"/>
          <w:numId w:val="1002"/>
        </w:numPr>
        <w:pStyle w:val="Compact"/>
      </w:pPr>
      <w:r>
        <w:t xml:space="preserve">Une évaluation indépendante de ce que valent réellement les prévisions précoces pour la</w:t>
      </w:r>
      <w:r>
        <w:t xml:space="preserve"> </w:t>
      </w:r>
      <w:r>
        <w:t xml:space="preserve">planification des ressources - y compris un résultat négatif, s'il est négatif.</w:t>
      </w:r>
    </w:p>
    <w:p>
      <w:pPr>
        <w:numPr>
          <w:ilvl w:val="0"/>
          <w:numId w:val="1002"/>
        </w:numPr>
        <w:pStyle w:val="Compact"/>
      </w:pPr>
      <w:r>
        <w:t xml:space="preserve">Des seuils d'escalade explicités et documentés, construits avec vos équipes.</w:t>
      </w:r>
    </w:p>
    <w:p>
      <w:pPr>
        <w:numPr>
          <w:ilvl w:val="0"/>
          <w:numId w:val="1002"/>
        </w:numPr>
        <w:pStyle w:val="Compact"/>
      </w:pPr>
      <w:r>
        <w:t xml:space="preserve">Un déploiement en</w:t>
      </w:r>
      <w:r>
        <w:t xml:space="preserve"> </w:t>
      </w:r>
      <w:r>
        <w:rPr>
          <w:bCs/>
          <w:b/>
        </w:rPr>
        <w:t xml:space="preserve">mode observation</w:t>
      </w:r>
      <w:r>
        <w:t xml:space="preserve"> </w:t>
      </w:r>
      <w:r>
        <w:t xml:space="preserve">en fin de projet : les prévisions sont enregistrées, non</w:t>
      </w:r>
      <w:r>
        <w:t xml:space="preserve"> </w:t>
      </w:r>
      <w:r>
        <w:t xml:space="preserve">utilisées pour décider - aucun impact clinique, aucune charge opérationnelle.</w:t>
      </w:r>
    </w:p>
    <w:p>
      <w:pPr>
        <w:numPr>
          <w:ilvl w:val="0"/>
          <w:numId w:val="1002"/>
        </w:numPr>
        <w:pStyle w:val="Compact"/>
      </w:pPr>
      <w:r>
        <w:t xml:space="preserve">Publications communes, dans la continuité de la revue systématique GESICA.</w:t>
      </w:r>
    </w:p>
    <w:bookmarkEnd w:id="23"/>
    <w:bookmarkStart w:id="24" w:name="calendrier"/>
    <w:p>
      <w:pPr>
        <w:pStyle w:val="Heading2"/>
      </w:pPr>
      <w:r>
        <w:t xml:space="preserve">Calendrier</w:t>
      </w:r>
    </w:p>
    <w:p>
      <w:pPr>
        <w:pStyle w:val="FirstParagraph"/>
      </w:pPr>
      <w:r>
        <w:t xml:space="preserve">Dépôt : 3 novembre 2026 · Phase 1 : avril 2027 · Entretien (sciences de la vie) : 3–4 juin</w:t>
      </w:r>
      <w:r>
        <w:t xml:space="preserve"> </w:t>
      </w:r>
      <w:r>
        <w:t xml:space="preserve">2027 · Décision : août 2027 · Début : entre le 1er septembre 2027 et le 1er septembre 2028.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2026-10-06T16:36:32Z</dcterms:created>
  <dcterms:modified xsi:type="dcterms:W3CDTF">2026-10-06T16:36:32Z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