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2"/>
          <w:szCs w:val="32"/>
        </w:rPr>
        <w:t xml:space="preserve">Maladies respiratoires infectieuses : périmètre, variables d'intérêt</w:t>
      </w:r>
    </w:p>
    <w:p>
      <w:pPr>
        <w:spacing w:after="40"/>
        <w:jc w:val="center"/>
      </w:pPr>
      <w:r>
        <w:rPr>
          <w:b/>
          <w:bCs/>
          <w:color w:val="1F3864"/>
          <w:sz w:val="32"/>
          <w:szCs w:val="32"/>
        </w:rPr>
        <w:t xml:space="preserve">et sources de données pour la modélisation épidémiologique</w:t>
      </w:r>
    </w:p>
    <w:p>
      <w:pPr>
        <w:spacing w:after="300"/>
        <w:jc w:val="center"/>
      </w:pPr>
      <w:r>
        <w:rPr>
          <w:i/>
          <w:iCs/>
          <w:color w:val="595959"/>
          <w:sz w:val="24"/>
          <w:szCs w:val="24"/>
        </w:rPr>
        <w:t xml:space="preserve">Projet Interreg GESICA : cantons de Genève et de Vaud</w:t>
      </w:r>
    </w:p>
    <w:p>
      <w:pPr>
        <w:pStyle w:val="Heading1"/>
        <w:spacing w:after="160" w:before="320"/>
      </w:pPr>
      <w:r>
        <w:t xml:space="preserve">Introduction</w:t>
      </w:r>
    </w:p>
    <w:p>
      <w:pPr>
        <w:spacing w:after="160" w:line="276"/>
      </w:pPr>
      <w:r>
        <w:t xml:space="preserve">Le projet Interreg GESICA vise à améliorer la détection précoce, l'anticipation et la gestion des situations sanitaires exceptionnelles (SSE) liées aux maladies respiratoires infectieuses. Ce rapport fournit le socle de données du volet suisse du projet, pour les cantons de Genève et de Vaud, en trois temps. Il établit d'abord la liste des maladies respiratoires retenues, en partant du catalogue de 77 maladies constitué pour le projet à partir de la liste des maladies sous surveillance de l'ECDC, de la liste des maladies émergentes de l'OMS (1, 2) et du virus respiratoire syncytial (VRS), et en classant chaque maladie selon le cadre de modélisation que son mode de transmission impose; les vingt maladies retenues sont hiérarchisées en cinq priorités opérationnelles. Il précise ensuite, pour chaque maladie, les symptômes de la définition de cas et les variables d'intérêt à mesurer. Il inventorie enfin les sources de données mobilisables pour ces variables à Genève et à Vaud, avec pour chacune l'institution productrice, l'historique disponible, la fréquence de mise à jour, la latence de publication, la modalité d'accès et les limites de qualité connues, avant de conclure sur les paramètres structurels nécessaires à la construction d'un modèle SEIR.</w:t>
      </w:r>
    </w:p>
    <w:p>
      <w:pPr>
        <w:spacing w:after="160" w:line="276"/>
      </w:pPr>
      <w:r>
        <w:t xml:space="preserve">Le tableau Excel joint constitue l'annexe opérationnelle du rapport : il contient le catalogue complet des 77 maladies avec leur classe de modèle, la fiche détaillée des sources de données (identifiants D01 à D22), la table maladie par maladie des symptômes, variables et sources, ainsi que la matrice croisant les vingt maladies retenues avec les 23 sources.</w:t>
      </w:r>
    </w:p>
    <w:p>
      <w:pPr>
        <w:pStyle w:val="Heading1"/>
        <w:spacing w:after="160" w:before="320"/>
      </w:pPr>
      <w:r>
        <w:t xml:space="preserve">1. Périmètre nosologique et hiérarchie des priorités</w:t>
      </w:r>
    </w:p>
    <w:p>
      <w:pPr>
        <w:spacing w:after="160" w:line="276"/>
      </w:pPr>
      <w:r>
        <w:t xml:space="preserve">Toutes les maladies du catalogue ne relèvent pas du même cadre de modélisation, et toutes ne relèvent pas du périmètre respiratoire. L'axe de classification pertinent est le mode de transmission, déjà documenté dans le catalogue : c'est lui qui détermine la classe de modèle épidémiologique applicable, bien plus que le type de pathogène ou la présentation clinique. Quatre règles suffisent : le mode de transmission dominant détermine la classe; en cas de modes multiples, la voie qui gouverne la dynamique épidémique l'emporte (la grippe se modélise en SEIR interhumain, son volet zoonotique relevant du spillover tant qu'il n'y a pas de transmission interhumaine soutenue); la classe suit la transmission et non la clinique (la rougeole, aéroportée mais éruptive, se modélise en SEIR sans appartenir au périmètre clinique respiratoire; la légionellose, pneumonie sans transmission interhumaine, relève des modèles d'exposition à une source et non du SEIR); enfin, les formes congénitales ne se modélisent pas directement, leur charge se dérivant de l'incidence maternelle.</w:t>
      </w:r>
    </w:p>
    <w:p>
      <w:pPr>
        <w:spacing w:after="160" w:line="276"/>
      </w:pPr>
      <w:r>
        <w:t xml:space="preserve">Appliquées aux 77 maladies du catalogue, ces règles définissent huit classes de modèles : le SEIR interhumain et ses variantes (SEIRS, SVEIR, structuration par âge, versions stochastiques, portage-invasion pour les maladies bactériennes invasives, latence longue pour la tuberculose) (3, 4); les modèles vectoriels hôte-vecteur de type Ross-Macdonald (5); les modèles de spillover zoonotique combinant exposition au réservoir et processus de branchement pour les chaînes interhumaines limitées (6, 7); les modèles de source commune et d'exposition environnementale, avec détection d'anomalies, dose-réponse, risque spatial et compartiment hydrique (8, 9); les modèles de réseaux de contact étroit pour les voies sexuelle et sanguine (13); les modèles nosocomiaux de colonisation-infection (12); les formes congénitales dérivées; et la surveillance simple pour les maladies sporadiques non transmissibles. La répartition est la suivante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900"/>
        <w:gridCol w:w="4300"/>
      </w:tblGrid>
      <w:tr>
        <w:trPr>
          <w:tblHeader/>
        </w:trPr>
        <w:tc>
          <w:tcPr>
            <w:tcW w:type="dxa" w:w="1000"/>
            <w:shd w:fill="1F3864" w:val="clear"/>
          </w:tcPr>
          <w:p>
            <w:r>
              <w:rPr>
                <w:b/>
                <w:bCs/>
                <w:color w:val="FFFFFF"/>
                <w:sz w:val="18"/>
                <w:szCs w:val="18"/>
              </w:rPr>
              <w:t xml:space="preserve">Classe</w:t>
            </w:r>
          </w:p>
        </w:tc>
        <w:tc>
          <w:tcPr>
            <w:tcW w:type="dxa" w:w="3400"/>
            <w:shd w:fill="1F3864" w:val="clear"/>
          </w:tcPr>
          <w:p>
            <w:r>
              <w:rPr>
                <w:b/>
                <w:bCs/>
                <w:color w:val="FFFFFF"/>
                <w:sz w:val="18"/>
                <w:szCs w:val="18"/>
              </w:rPr>
              <w:t xml:space="preserve">Nom</w:t>
            </w:r>
          </w:p>
        </w:tc>
        <w:tc>
          <w:tcPr>
            <w:tcW w:type="dxa" w:w="900"/>
            <w:shd w:fill="1F3864" w:val="clear"/>
          </w:tcPr>
          <w:p>
            <w:r>
              <w:rPr>
                <w:b/>
                <w:bCs/>
                <w:color w:val="FFFFFF"/>
                <w:sz w:val="18"/>
                <w:szCs w:val="18"/>
              </w:rPr>
              <w:t xml:space="preserve">N</w:t>
            </w:r>
          </w:p>
        </w:tc>
        <w:tc>
          <w:tcPr>
            <w:tcW w:type="dxa" w:w="4300"/>
            <w:shd w:fill="1F3864" w:val="clear"/>
          </w:tcPr>
          <w:p>
            <w:r>
              <w:rPr>
                <w:b/>
                <w:bCs/>
                <w:color w:val="FFFFFF"/>
                <w:sz w:val="18"/>
                <w:szCs w:val="18"/>
              </w:rPr>
              <w:t xml:space="preserve">Exemples représentatifs</w:t>
            </w:r>
          </w:p>
        </w:tc>
      </w:tr>
      <w:tr>
        <w:tc>
          <w:tcPr>
            <w:tcW w:type="dxa" w:w="1000"/>
            <w:shd w:fill="DEEAF6" w:val="clear"/>
          </w:tcPr>
          <w:p>
            <w:r>
              <w:rPr>
                <w:b/>
                <w:bCs/>
                <w:sz w:val="18"/>
                <w:szCs w:val="18"/>
              </w:rPr>
              <w:t xml:space="preserve">M1</w:t>
            </w:r>
          </w:p>
        </w:tc>
        <w:tc>
          <w:tcPr>
            <w:tcW w:type="dxa" w:w="3400"/>
            <w:shd w:fill="DEEAF6" w:val="clear"/>
          </w:tcPr>
          <w:p>
            <w:r>
              <w:rPr>
                <w:b w:val="false"/>
                <w:bCs w:val="false"/>
                <w:sz w:val="18"/>
                <w:szCs w:val="18"/>
              </w:rPr>
              <w:t xml:space="preserve">SEIR interhumain</w:t>
            </w:r>
          </w:p>
        </w:tc>
        <w:tc>
          <w:tcPr>
            <w:tcW w:type="dxa" w:w="900"/>
          </w:tcPr>
          <w:p>
            <w:r>
              <w:rPr>
                <w:b w:val="false"/>
                <w:bCs w:val="false"/>
                <w:sz w:val="18"/>
                <w:szCs w:val="18"/>
              </w:rPr>
              <w:t xml:space="preserve">15</w:t>
            </w:r>
          </w:p>
        </w:tc>
        <w:tc>
          <w:tcPr>
            <w:tcW w:type="dxa" w:w="4300"/>
          </w:tcPr>
          <w:p>
            <w:r>
              <w:rPr>
                <w:b w:val="false"/>
                <w:bCs w:val="false"/>
                <w:sz w:val="18"/>
                <w:szCs w:val="18"/>
              </w:rPr>
              <w:t xml:space="preserve">COVID-19, grippe, VRS, SRAS, coqueluche, rougeole, tuberculose MDR, maladies invasives à pneumocoque et méningocoque</w:t>
            </w:r>
          </w:p>
        </w:tc>
      </w:tr>
      <w:tr>
        <w:tc>
          <w:tcPr>
            <w:tcW w:type="dxa" w:w="1000"/>
            <w:shd w:fill="E2EFDA" w:val="clear"/>
          </w:tcPr>
          <w:p>
            <w:r>
              <w:rPr>
                <w:b/>
                <w:bCs/>
                <w:sz w:val="18"/>
                <w:szCs w:val="18"/>
              </w:rPr>
              <w:t xml:space="preserve">M2</w:t>
            </w:r>
          </w:p>
        </w:tc>
        <w:tc>
          <w:tcPr>
            <w:tcW w:type="dxa" w:w="3400"/>
            <w:shd w:fill="E2EFDA" w:val="clear"/>
          </w:tcPr>
          <w:p>
            <w:r>
              <w:rPr>
                <w:b w:val="false"/>
                <w:bCs w:val="false"/>
                <w:sz w:val="18"/>
                <w:szCs w:val="18"/>
              </w:rPr>
              <w:t xml:space="preserve">Vectoriel (hôte-vecteur)</w:t>
            </w:r>
          </w:p>
        </w:tc>
        <w:tc>
          <w:tcPr>
            <w:tcW w:type="dxa" w:w="900"/>
          </w:tcPr>
          <w:p>
            <w:r>
              <w:rPr>
                <w:b w:val="false"/>
                <w:bCs w:val="false"/>
                <w:sz w:val="18"/>
                <w:szCs w:val="18"/>
              </w:rPr>
              <w:t xml:space="preserve">12</w:t>
            </w:r>
          </w:p>
        </w:tc>
        <w:tc>
          <w:tcPr>
            <w:tcW w:type="dxa" w:w="4300"/>
          </w:tcPr>
          <w:p>
            <w:r>
              <w:rPr>
                <w:b w:val="false"/>
                <w:bCs w:val="false"/>
                <w:sz w:val="18"/>
                <w:szCs w:val="18"/>
              </w:rPr>
              <w:t xml:space="preserve">Dengue, chikungunya, paludisme, West Nile, encéphalite à tiques, borréliose de Lyme</w:t>
            </w:r>
          </w:p>
        </w:tc>
      </w:tr>
      <w:tr>
        <w:tc>
          <w:tcPr>
            <w:tcW w:type="dxa" w:w="1000"/>
            <w:shd w:fill="FFF2CC" w:val="clear"/>
          </w:tcPr>
          <w:p>
            <w:r>
              <w:rPr>
                <w:b/>
                <w:bCs/>
                <w:sz w:val="18"/>
                <w:szCs w:val="18"/>
              </w:rPr>
              <w:t xml:space="preserve">M3</w:t>
            </w:r>
          </w:p>
        </w:tc>
        <w:tc>
          <w:tcPr>
            <w:tcW w:type="dxa" w:w="3400"/>
            <w:shd w:fill="FFF2CC" w:val="clear"/>
          </w:tcPr>
          <w:p>
            <w:r>
              <w:rPr>
                <w:b w:val="false"/>
                <w:bCs w:val="false"/>
                <w:sz w:val="18"/>
                <w:szCs w:val="18"/>
              </w:rPr>
              <w:t xml:space="preserve">Spillover zoonotique</w:t>
            </w:r>
          </w:p>
        </w:tc>
        <w:tc>
          <w:tcPr>
            <w:tcW w:type="dxa" w:w="900"/>
          </w:tcPr>
          <w:p>
            <w:r>
              <w:rPr>
                <w:b w:val="false"/>
                <w:bCs w:val="false"/>
                <w:sz w:val="18"/>
                <w:szCs w:val="18"/>
              </w:rPr>
              <w:t xml:space="preserve">14</w:t>
            </w:r>
          </w:p>
        </w:tc>
        <w:tc>
          <w:tcPr>
            <w:tcW w:type="dxa" w:w="4300"/>
          </w:tcPr>
          <w:p>
            <w:r>
              <w:rPr>
                <w:b w:val="false"/>
                <w:bCs w:val="false"/>
                <w:sz w:val="18"/>
                <w:szCs w:val="18"/>
              </w:rPr>
              <w:t xml:space="preserve">MERS-CoV, Nipah, fièvres hémorragiques virales, hantavirus, leptospirose, rage</w:t>
            </w:r>
          </w:p>
        </w:tc>
      </w:tr>
      <w:tr>
        <w:tc>
          <w:tcPr>
            <w:tcW w:type="dxa" w:w="1000"/>
            <w:shd w:fill="FCE4D6" w:val="clear"/>
          </w:tcPr>
          <w:p>
            <w:r>
              <w:rPr>
                <w:b/>
                <w:bCs/>
                <w:sz w:val="18"/>
                <w:szCs w:val="18"/>
              </w:rPr>
              <w:t xml:space="preserve">M4</w:t>
            </w:r>
          </w:p>
        </w:tc>
        <w:tc>
          <w:tcPr>
            <w:tcW w:type="dxa" w:w="3400"/>
            <w:shd w:fill="FCE4D6" w:val="clear"/>
          </w:tcPr>
          <w:p>
            <w:r>
              <w:rPr>
                <w:b w:val="false"/>
                <w:bCs w:val="false"/>
                <w:sz w:val="18"/>
                <w:szCs w:val="18"/>
              </w:rPr>
              <w:t xml:space="preserve">Source commune / exposition environnementale</w:t>
            </w:r>
          </w:p>
        </w:tc>
        <w:tc>
          <w:tcPr>
            <w:tcW w:type="dxa" w:w="900"/>
          </w:tcPr>
          <w:p>
            <w:r>
              <w:rPr>
                <w:b w:val="false"/>
                <w:bCs w:val="false"/>
                <w:sz w:val="18"/>
                <w:szCs w:val="18"/>
              </w:rPr>
              <w:t xml:space="preserve">18</w:t>
            </w:r>
          </w:p>
        </w:tc>
        <w:tc>
          <w:tcPr>
            <w:tcW w:type="dxa" w:w="4300"/>
          </w:tcPr>
          <w:p>
            <w:r>
              <w:rPr>
                <w:b w:val="false"/>
                <w:bCs w:val="false"/>
                <w:sz w:val="18"/>
                <w:szCs w:val="18"/>
              </w:rPr>
              <w:t xml:space="preserve">Légionellose, fièvre Q, choléra, salmonellose, hépatite A, botulisme, charbon</w:t>
            </w:r>
          </w:p>
        </w:tc>
      </w:tr>
      <w:tr>
        <w:tc>
          <w:tcPr>
            <w:tcW w:type="dxa" w:w="1000"/>
            <w:shd w:fill="EDEDED" w:val="clear"/>
          </w:tcPr>
          <w:p>
            <w:r>
              <w:rPr>
                <w:b/>
                <w:bCs/>
                <w:sz w:val="18"/>
                <w:szCs w:val="18"/>
              </w:rPr>
              <w:t xml:space="preserve">M5</w:t>
            </w:r>
          </w:p>
        </w:tc>
        <w:tc>
          <w:tcPr>
            <w:tcW w:type="dxa" w:w="3400"/>
            <w:shd w:fill="EDEDED" w:val="clear"/>
          </w:tcPr>
          <w:p>
            <w:r>
              <w:rPr>
                <w:b w:val="false"/>
                <w:bCs w:val="false"/>
                <w:sz w:val="18"/>
                <w:szCs w:val="18"/>
              </w:rPr>
              <w:t xml:space="preserve">Réseaux de contact étroit</w:t>
            </w:r>
          </w:p>
        </w:tc>
        <w:tc>
          <w:tcPr>
            <w:tcW w:type="dxa" w:w="900"/>
          </w:tcPr>
          <w:p>
            <w:r>
              <w:rPr>
                <w:b w:val="false"/>
                <w:bCs w:val="false"/>
                <w:sz w:val="18"/>
                <w:szCs w:val="18"/>
              </w:rPr>
              <w:t xml:space="preserve">7</w:t>
            </w:r>
          </w:p>
        </w:tc>
        <w:tc>
          <w:tcPr>
            <w:tcW w:type="dxa" w:w="4300"/>
          </w:tcPr>
          <w:p>
            <w:r>
              <w:rPr>
                <w:b w:val="false"/>
                <w:bCs w:val="false"/>
                <w:sz w:val="18"/>
                <w:szCs w:val="18"/>
              </w:rPr>
              <w:t xml:space="preserve">VIH, hépatites B et C, syphilis, gonorrhée, chlamydia, mpox</w:t>
            </w:r>
          </w:p>
        </w:tc>
      </w:tr>
      <w:tr>
        <w:tc>
          <w:tcPr>
            <w:tcW w:type="dxa" w:w="1000"/>
            <w:shd w:fill="E4DFEC" w:val="clear"/>
          </w:tcPr>
          <w:p>
            <w:r>
              <w:rPr>
                <w:b/>
                <w:bCs/>
                <w:sz w:val="18"/>
                <w:szCs w:val="18"/>
              </w:rPr>
              <w:t xml:space="preserve">M6</w:t>
            </w:r>
          </w:p>
        </w:tc>
        <w:tc>
          <w:tcPr>
            <w:tcW w:type="dxa" w:w="3400"/>
            <w:shd w:fill="E4DFEC" w:val="clear"/>
          </w:tcPr>
          <w:p>
            <w:r>
              <w:rPr>
                <w:b w:val="false"/>
                <w:bCs w:val="false"/>
                <w:sz w:val="18"/>
                <w:szCs w:val="18"/>
              </w:rPr>
              <w:t xml:space="preserve">Nosocomial / résistance antimicrobienne</w:t>
            </w:r>
          </w:p>
        </w:tc>
        <w:tc>
          <w:tcPr>
            <w:tcW w:type="dxa" w:w="900"/>
          </w:tcPr>
          <w:p>
            <w:r>
              <w:rPr>
                <w:b w:val="false"/>
                <w:bCs w:val="false"/>
                <w:sz w:val="18"/>
                <w:szCs w:val="18"/>
              </w:rPr>
              <w:t xml:space="preserve">5</w:t>
            </w:r>
          </w:p>
        </w:tc>
        <w:tc>
          <w:tcPr>
            <w:tcW w:type="dxa" w:w="4300"/>
          </w:tcPr>
          <w:p>
            <w:r>
              <w:rPr>
                <w:b w:val="false"/>
                <w:bCs w:val="false"/>
                <w:sz w:val="18"/>
                <w:szCs w:val="18"/>
              </w:rPr>
              <w:t xml:space="preserve">MRSA, entérobactéries résistantes aux carbapénèmes, C. difficile, Acinetobacter</w:t>
            </w:r>
          </w:p>
        </w:tc>
      </w:tr>
      <w:tr>
        <w:tc>
          <w:tcPr>
            <w:tcW w:type="dxa" w:w="1000"/>
            <w:shd w:fill="F2F2F2" w:val="clear"/>
          </w:tcPr>
          <w:p>
            <w:r>
              <w:rPr>
                <w:b/>
                <w:bCs/>
                <w:sz w:val="18"/>
                <w:szCs w:val="18"/>
              </w:rPr>
              <w:t xml:space="preserve">M7</w:t>
            </w:r>
          </w:p>
        </w:tc>
        <w:tc>
          <w:tcPr>
            <w:tcW w:type="dxa" w:w="3400"/>
            <w:shd w:fill="F2F2F2" w:val="clear"/>
          </w:tcPr>
          <w:p>
            <w:r>
              <w:rPr>
                <w:b w:val="false"/>
                <w:bCs w:val="false"/>
                <w:sz w:val="18"/>
                <w:szCs w:val="18"/>
              </w:rPr>
              <w:t xml:space="preserve">Congénital (dérivé)</w:t>
            </w:r>
          </w:p>
        </w:tc>
        <w:tc>
          <w:tcPr>
            <w:tcW w:type="dxa" w:w="900"/>
          </w:tcPr>
          <w:p>
            <w:r>
              <w:rPr>
                <w:b w:val="false"/>
                <w:bCs w:val="false"/>
                <w:sz w:val="18"/>
                <w:szCs w:val="18"/>
              </w:rPr>
              <w:t xml:space="preserve">4</w:t>
            </w:r>
          </w:p>
        </w:tc>
        <w:tc>
          <w:tcPr>
            <w:tcW w:type="dxa" w:w="4300"/>
          </w:tcPr>
          <w:p>
            <w:r>
              <w:rPr>
                <w:b w:val="false"/>
                <w:bCs w:val="false"/>
                <w:sz w:val="18"/>
                <w:szCs w:val="18"/>
              </w:rPr>
              <w:t xml:space="preserve">Rubéole, syphilis, toxoplasmose et Zika congénitaux</w:t>
            </w:r>
          </w:p>
        </w:tc>
      </w:tr>
      <w:tr>
        <w:tc>
          <w:tcPr>
            <w:tcW w:type="dxa" w:w="1000"/>
            <w:shd w:fill="FFFFFF" w:val="clear"/>
          </w:tcPr>
          <w:p>
            <w:r>
              <w:rPr>
                <w:b/>
                <w:bCs/>
                <w:sz w:val="18"/>
                <w:szCs w:val="18"/>
              </w:rPr>
              <w:t xml:space="preserve">M8</w:t>
            </w:r>
          </w:p>
        </w:tc>
        <w:tc>
          <w:tcPr>
            <w:tcW w:type="dxa" w:w="3400"/>
            <w:shd w:fill="FFFFFF" w:val="clear"/>
          </w:tcPr>
          <w:p>
            <w:r>
              <w:rPr>
                <w:b w:val="false"/>
                <w:bCs w:val="false"/>
                <w:sz w:val="18"/>
                <w:szCs w:val="18"/>
              </w:rPr>
              <w:t xml:space="preserve">Surveillance simple</w:t>
            </w:r>
          </w:p>
        </w:tc>
        <w:tc>
          <w:tcPr>
            <w:tcW w:type="dxa" w:w="900"/>
          </w:tcPr>
          <w:p>
            <w:r>
              <w:rPr>
                <w:b w:val="false"/>
                <w:bCs w:val="false"/>
                <w:sz w:val="18"/>
                <w:szCs w:val="18"/>
              </w:rPr>
              <w:t xml:space="preserve">2</w:t>
            </w:r>
          </w:p>
        </w:tc>
        <w:tc>
          <w:tcPr>
            <w:tcW w:type="dxa" w:w="4300"/>
          </w:tcPr>
          <w:p>
            <w:r>
              <w:rPr>
                <w:b w:val="false"/>
                <w:bCs w:val="false"/>
                <w:sz w:val="18"/>
                <w:szCs w:val="18"/>
              </w:rPr>
              <w:t xml:space="preserve">Tétanos, variante de la maladie de Creutzfeldt-Jakob</w:t>
            </w:r>
          </w:p>
        </w:tc>
      </w:tr>
    </w:tbl>
    <w:p>
      <w:pPr>
        <w:pStyle w:val="Heading2"/>
        <w:spacing w:after="120" w:before="260"/>
      </w:pPr>
      <w:r>
        <w:t xml:space="preserve">1.1 Les maladies infectieuses retenues : cinq priorités</w:t>
      </w:r>
    </w:p>
    <w:p>
      <w:pPr>
        <w:spacing w:after="160" w:line="276"/>
      </w:pPr>
      <w:r>
        <w:t xml:space="preserve">Le croisement de la classe de modèle et de la présentation clinique délimite un périmètre de vingt maladies respiratoires infectieuses. Elles ne sont pas équivalentes pour le projet : la hiérarchie suivante ordonne l'effort, de la priorité 1, immédiatement constructible, à la priorité 5, couverte par la seule déclaration obligatoire.</w:t>
      </w:r>
    </w:p>
    <w:p>
      <w:pPr>
        <w:pStyle w:val="ListParagraph"/>
        <w:numPr>
          <w:ilvl w:val="0"/>
          <w:numId w:val="1"/>
        </w:numPr>
        <w:spacing w:after="80" w:line="276"/>
      </w:pPr>
      <w:r>
        <w:t xml:space="preserve">Priorité 1, surveillance multicanal à haute fréquence : COVID-19 (cas d'étude du projet), grippe et VRS. Ces trois maladies sont les seules du périmètre à disposer simultanément d'une surveillance sentinelle hebdomadaire (Sentinella), d'une surveillance des eaux usées, de signaux d'urgence quasi temps réel (appels 144) et de signaux comportementaux web. Ce sont donc les seules pour lesquelles un système de détection précoce multicanal est réellement constructible aujourd'hui, et elles concentrent l'essentiel de la charge hospitalière saisonnière, majeure en pédiatrie et en gériatrie pour le VRS (26). C'est sur elles que le système GESICA doit être développé et validé en premier.</w:t>
      </w:r>
    </w:p>
    <w:p>
      <w:pPr>
        <w:pStyle w:val="ListParagraph"/>
        <w:numPr>
          <w:ilvl w:val="0"/>
          <w:numId w:val="1"/>
        </w:numPr>
        <w:spacing w:after="80" w:line="276"/>
      </w:pPr>
      <w:r>
        <w:t xml:space="preserve">Priorité 2, autres maladies respiratoires à transmission interhumaine : coqueluche, tuberculose multirésistante, diphtérie, SRAS (scénario de préparation) et les trois maladies invasives à pneumocoque, méningocoque et Haemophilus influenzae. Mêmes cadres de modélisation SEIR (10, 11) que la priorité 1, mais surveillance reposant essentiellement sur la déclaration obligatoire : leur intégration au système est peu coûteuse une fois le canal du médecin cantonal établi, sans permettre de détection précoce multicanal.</w:t>
      </w:r>
    </w:p>
    <w:p>
      <w:pPr>
        <w:pStyle w:val="ListParagraph"/>
        <w:numPr>
          <w:ilvl w:val="0"/>
          <w:numId w:val="1"/>
        </w:numPr>
        <w:spacing w:after="80" w:line="276"/>
      </w:pPr>
      <w:r>
        <w:t xml:space="preserve">Priorité 3, infections respiratoires à source environnementale : légionellose, fièvre Q et syndrome pulmonaire à hantavirus. Présentation respiratoire mais aucune transmission interhumaine : modèles d'exposition à une source et de risque spatial, correspondant à la classe de SSE « flambée à source commune » vers laquelle le système GESICA a vocation à être étendu après le cas pandémique.</w:t>
      </w:r>
    </w:p>
    <w:p>
      <w:pPr>
        <w:pStyle w:val="ListParagraph"/>
        <w:numPr>
          <w:ilvl w:val="0"/>
          <w:numId w:val="1"/>
        </w:numPr>
        <w:spacing w:after="80" w:line="276"/>
      </w:pPr>
      <w:r>
        <w:t xml:space="preserve">Priorité 4, veille pandémique : MERS-CoV et virus Nipah. Zoonoses à tropisme respiratoire sans transmission interhumaine soutenue à ce jour; leur bascule éventuelle vers une transmission interhumaine constituerait précisément le signal faible de SSE que GESICA cherche à détecter. Veille documentaire et suivi des alertes internationales, sans source de données locale.</w:t>
      </w:r>
    </w:p>
    <w:p>
      <w:pPr>
        <w:pStyle w:val="ListParagraph"/>
        <w:numPr>
          <w:ilvl w:val="0"/>
          <w:numId w:val="1"/>
        </w:numPr>
        <w:spacing w:after="80" w:line="276"/>
      </w:pPr>
      <w:r>
        <w:t xml:space="preserve">Priorité 5, transmission respiratoire sans clinique respiratoire : rougeole, oreillons, rubéole, poliomyélite (14) et variole (scénario). Elles relèvent du SEIR pour la modélisation, sans appartenir au périmètre clinique respiratoire; leurs flambées peuvent néanmoins solliciter les mêmes dispositifs de réponse et sont suivies par la déclaration obligatoire.</w:t>
      </w:r>
    </w:p>
    <w:p>
      <w:pPr>
        <w:spacing w:after="160" w:line="276"/>
      </w:pPr>
      <w:r>
        <w:t xml:space="preserve">Les 57 maladies restantes du catalogue sont hors périmètre respiratoire; leur classe de modèle reste documentée en annexe pour les extensions ultérieures du système.</w:t>
      </w:r>
    </w:p>
    <w:p>
      <w:pPr>
        <w:pStyle w:val="Heading2"/>
        <w:spacing w:after="120" w:before="260"/>
      </w:pPr>
      <w:r>
        <w:t xml:space="preserve">1.2 Affections respiratoires non infectieuses : une catégorie distincte</w:t>
      </w:r>
    </w:p>
    <w:p>
      <w:pPr>
        <w:spacing w:after="160" w:line="276"/>
      </w:pPr>
      <w:r>
        <w:t xml:space="preserve">Toutes les maladies ci-dessus sont infectieuses. Les affections respiratoires non infectieuses, au premier rang desquelles les exacerbations d'asthme et de BPCO liées aux pics de pollution ou aux canicules, constituent une catégorie séparée : elles ne se transmettent pas et ne relèvent d'aucun modèle épidémique, mais elles contribuent à la demande de soins respiratoires que le modèle cherche à prédire, et la canicule constitue elle-même une classe de SSE. Elles sont prises en compte dans ce rapport par les covariables environnementales de l'inventaire (qualité de l'air D09, température D10, humidité et UV D11), sans faire l'objet de sources dédiées.</w:t>
      </w:r>
    </w:p>
    <w:p>
      <w:pPr>
        <w:pStyle w:val="Heading1"/>
        <w:spacing w:after="160" w:before="320"/>
      </w:pPr>
      <w:r>
        <w:t xml:space="preserve">2. Maladies retenues : symptômes et variables d'intérêt</w:t>
      </w:r>
    </w:p>
    <w:p>
      <w:pPr>
        <w:spacing w:after="160" w:line="276"/>
      </w:pPr>
      <w:r>
        <w:t xml:space="preserve">Pour chacune des vingt maladies du périmètre, les tableaux suivants donnent les symptômes de la définition de cas du catalogue (condensés et traduits), les variables d'intérêt à mesurer, et les identifiants des sources de données correspondantes, détaillées aux chapitres 3 à 9 et dans le fichier Excel (feuille Sources_donnees_GE_VD). Les variables se lisent comme suit : les variables de résultat (incidence confirmée, hospitalisations) mesurent ce que le modèle doit prédire ou reproduire; les variables de signal précoce (symptômes aux appels 144, eaux usées, recherches web) visent la détection avancée; les variables de susceptibilité (vaccination, séroprévalence) et les covariables (environnement, contacts, calendrier) conditionnent la transmission.</w:t>
      </w:r>
    </w:p>
    <w:p>
      <w:pPr>
        <w:pStyle w:val="Heading2"/>
        <w:spacing w:after="120" w:before="260"/>
      </w:pPr>
      <w:r>
        <w:t xml:space="preserve">2.1 Priorité 1 : surveillance multicanal à haute fréquence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400"/>
        <w:gridCol w:w="1600"/>
      </w:tblGrid>
      <w:tr>
        <w:trPr>
          <w:tblHeader/>
        </w:trPr>
        <w:tc>
          <w:tcPr>
            <w:tcW w:type="dxa" w:w="2100"/>
            <w:shd w:fill="1F3864" w:val="clear"/>
          </w:tcPr>
          <w:p>
            <w:r>
              <w:rPr>
                <w:b/>
                <w:bCs/>
                <w:color w:val="FFFFFF"/>
                <w:sz w:val="16"/>
                <w:szCs w:val="16"/>
              </w:rPr>
              <w:t xml:space="preserve">Maladie</w:t>
            </w:r>
          </w:p>
        </w:tc>
        <w:tc>
          <w:tcPr>
            <w:tcW w:type="dxa" w:w="2700"/>
            <w:shd w:fill="1F3864" w:val="clear"/>
          </w:tcPr>
          <w:p>
            <w:r>
              <w:rPr>
                <w:b/>
                <w:bCs/>
                <w:color w:val="FFFFFF"/>
                <w:sz w:val="16"/>
                <w:szCs w:val="16"/>
              </w:rPr>
              <w:t xml:space="preserve">Symptômes (catalogue)</w:t>
            </w:r>
          </w:p>
        </w:tc>
        <w:tc>
          <w:tcPr>
            <w:tcW w:type="dxa" w:w="3400"/>
            <w:shd w:fill="1F3864" w:val="clear"/>
          </w:tcPr>
          <w:p>
            <w:r>
              <w:rPr>
                <w:b/>
                <w:bCs/>
                <w:color w:val="FFFFFF"/>
                <w:sz w:val="16"/>
                <w:szCs w:val="16"/>
              </w:rPr>
              <w:t xml:space="preserve">Variables d'intérêt</w:t>
            </w:r>
          </w:p>
        </w:tc>
        <w:tc>
          <w:tcPr>
            <w:tcW w:type="dxa" w:w="1600"/>
            <w:shd w:fill="1F3864" w:val="clear"/>
          </w:tcPr>
          <w:p>
            <w:r>
              <w:rPr>
                <w:b/>
                <w:bCs/>
                <w:color w:val="FFFFFF"/>
                <w:sz w:val="16"/>
                <w:szCs w:val="16"/>
              </w:rPr>
              <w:t xml:space="preserve">Sources (IDs)</w:t>
            </w:r>
          </w:p>
        </w:tc>
      </w:tr>
      <w:tr>
        <w:tc>
          <w:tcPr>
            <w:tcW w:type="dxa" w:w="2100"/>
            <w:shd w:fill="BDD7EE" w:val="clear"/>
          </w:tcPr>
          <w:p>
            <w:r>
              <w:rPr>
                <w:b/>
                <w:bCs/>
                <w:sz w:val="16"/>
                <w:szCs w:val="16"/>
              </w:rPr>
              <w:t xml:space="preserve">COVID-19 (SARS-CoV-2)</w:t>
            </w:r>
          </w:p>
        </w:tc>
        <w:tc>
          <w:tcPr>
            <w:tcW w:type="dxa" w:w="2700"/>
          </w:tcPr>
          <w:p>
            <w:r>
              <w:rPr>
                <w:b w:val="false"/>
                <w:bCs w:val="false"/>
                <w:sz w:val="16"/>
                <w:szCs w:val="16"/>
              </w:rPr>
              <w:t xml:space="preserve">Fièvre, toux, maux de gorge, congestion, fatigue, perte du goût ou de l'odorat, dyspnée, nausées, diarrhée</w:t>
            </w:r>
          </w:p>
        </w:tc>
        <w:tc>
          <w:tcPr>
            <w:tcW w:type="dxa" w:w="3400"/>
          </w:tcPr>
          <w:p>
            <w:r>
              <w:rPr>
                <w:b w:val="false"/>
                <w:bCs w:val="false"/>
                <w:sz w:val="16"/>
                <w:szCs w:val="16"/>
              </w:rPr>
              <w:t xml:space="preserve">Incidence confirmée; symptômes aux appels 144; consultations sentinelles; charge virale des eaux usées; hospitalisations et soins intensifs; Rt; couverture vaccinale; séroprévalence; signaux web et sociaux; covariables environnementales et de contact</w:t>
            </w:r>
          </w:p>
        </w:tc>
        <w:tc>
          <w:tcPr>
            <w:tcW w:type="dxa" w:w="1600"/>
          </w:tcPr>
          <w:p>
            <w:r>
              <w:rPr>
                <w:b w:val="false"/>
                <w:bCs w:val="false"/>
                <w:sz w:val="16"/>
                <w:szCs w:val="16"/>
              </w:rPr>
              <w:t xml:space="preserve">D01, D02, D03, D04, D05, D06, D07, D08, D09, D10, D11, D12, D13, D14, D15, D16, D17, D18, D19, D20, D21, D22</w:t>
            </w:r>
          </w:p>
        </w:tc>
      </w:tr>
      <w:tr>
        <w:tc>
          <w:tcPr>
            <w:tcW w:type="dxa" w:w="2100"/>
            <w:shd w:fill="BDD7EE" w:val="clear"/>
          </w:tcPr>
          <w:p>
            <w:r>
              <w:rPr>
                <w:b/>
                <w:bCs/>
                <w:sz w:val="16"/>
                <w:szCs w:val="16"/>
              </w:rPr>
              <w:t xml:space="preserve">Grippe (Influenza)</w:t>
            </w:r>
          </w:p>
        </w:tc>
        <w:tc>
          <w:tcPr>
            <w:tcW w:type="dxa" w:w="2700"/>
            <w:shd w:fill="F7F7F7" w:val="clear"/>
          </w:tcPr>
          <w:p>
            <w:r>
              <w:rPr>
                <w:b w:val="false"/>
                <w:bCs w:val="false"/>
                <w:sz w:val="16"/>
                <w:szCs w:val="16"/>
              </w:rPr>
              <w:t xml:space="preserve">Fièvre, toux, maux de gorge, malaise, céphalées, myalgies, dyspnée</w:t>
            </w:r>
          </w:p>
        </w:tc>
        <w:tc>
          <w:tcPr>
            <w:tcW w:type="dxa" w:w="3400"/>
            <w:shd w:fill="F7F7F7" w:val="clear"/>
          </w:tcPr>
          <w:p>
            <w:r>
              <w:rPr>
                <w:b w:val="false"/>
                <w:bCs w:val="false"/>
                <w:sz w:val="16"/>
                <w:szCs w:val="16"/>
              </w:rPr>
              <w:t xml:space="preserve">Consultations ILI Sentinella; confirmations de laboratoire (déclaration); charge grippale des eaux usées; couverture vaccinale; hospitalisations; saisonnalité (température, humidité); absentéisme; ventes OTC</w:t>
            </w:r>
          </w:p>
        </w:tc>
        <w:tc>
          <w:tcPr>
            <w:tcW w:type="dxa" w:w="1600"/>
          </w:tcPr>
          <w:p>
            <w:r>
              <w:rPr>
                <w:b w:val="false"/>
                <w:bCs w:val="false"/>
                <w:sz w:val="16"/>
                <w:szCs w:val="16"/>
              </w:rPr>
              <w:t xml:space="preserve">D01, D02, D03, D04, D05, D06, D07, D08, D09, D10, D11, D12, D13, D15, D16, D17, D18, D19, D20</w:t>
            </w:r>
          </w:p>
        </w:tc>
      </w:tr>
      <w:tr>
        <w:tc>
          <w:tcPr>
            <w:tcW w:type="dxa" w:w="2100"/>
            <w:shd w:fill="BDD7EE" w:val="clear"/>
          </w:tcPr>
          <w:p>
            <w:r>
              <w:rPr>
                <w:b/>
                <w:bCs/>
                <w:sz w:val="16"/>
                <w:szCs w:val="16"/>
              </w:rPr>
              <w:t xml:space="preserve">VRS (virus respiratoire syncytial)</w:t>
            </w:r>
          </w:p>
        </w:tc>
        <w:tc>
          <w:tcPr>
            <w:tcW w:type="dxa" w:w="2700"/>
          </w:tcPr>
          <w:p>
            <w:r>
              <w:rPr>
                <w:b w:val="false"/>
                <w:bCs w:val="false"/>
                <w:sz w:val="16"/>
                <w:szCs w:val="16"/>
              </w:rPr>
              <w:t xml:space="preserve">Rhinorrhée, toux, sibilances, dyspnée; bronchiolite du nourrisson; fièvre</w:t>
            </w:r>
          </w:p>
        </w:tc>
        <w:tc>
          <w:tcPr>
            <w:tcW w:type="dxa" w:w="3400"/>
          </w:tcPr>
          <w:p>
            <w:r>
              <w:rPr>
                <w:b w:val="false"/>
                <w:bCs w:val="false"/>
                <w:sz w:val="16"/>
                <w:szCs w:val="16"/>
              </w:rPr>
              <w:t xml:space="preserve">Consultations sentinelles VRS; charge virale des eaux usées; hospitalisations pédiatriques et gériatriques; couverture de l'immunisation (anticorps monoclonaux, vaccin maternel); saisonnalité (température, humidité); calendrier scolaire</w:t>
            </w:r>
          </w:p>
        </w:tc>
        <w:tc>
          <w:tcPr>
            <w:tcW w:type="dxa" w:w="1600"/>
          </w:tcPr>
          <w:p>
            <w:r>
              <w:rPr>
                <w:b w:val="false"/>
                <w:bCs w:val="false"/>
                <w:sz w:val="16"/>
                <w:szCs w:val="16"/>
              </w:rPr>
              <w:t xml:space="preserve">D02, D03, D05, D06, D07, D08, D10, D11, D13, D15, D16, D18, D20</w:t>
            </w:r>
          </w:p>
        </w:tc>
      </w:tr>
    </w:tbl>
    <w:p>
      <w:pPr>
        <w:pStyle w:val="Heading2"/>
        <w:spacing w:after="120" w:before="260"/>
      </w:pPr>
      <w:r>
        <w:t xml:space="preserve">2.2 Priorité 2 : autres maladies respiratoires à transmission interhumaine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400"/>
        <w:gridCol w:w="1600"/>
      </w:tblGrid>
      <w:tr>
        <w:trPr>
          <w:tblHeader/>
        </w:trPr>
        <w:tc>
          <w:tcPr>
            <w:tcW w:type="dxa" w:w="2100"/>
            <w:shd w:fill="1F3864" w:val="clear"/>
          </w:tcPr>
          <w:p>
            <w:r>
              <w:rPr>
                <w:b/>
                <w:bCs/>
                <w:color w:val="FFFFFF"/>
                <w:sz w:val="16"/>
                <w:szCs w:val="16"/>
              </w:rPr>
              <w:t xml:space="preserve">Maladie</w:t>
            </w:r>
          </w:p>
        </w:tc>
        <w:tc>
          <w:tcPr>
            <w:tcW w:type="dxa" w:w="2700"/>
            <w:shd w:fill="1F3864" w:val="clear"/>
          </w:tcPr>
          <w:p>
            <w:r>
              <w:rPr>
                <w:b/>
                <w:bCs/>
                <w:color w:val="FFFFFF"/>
                <w:sz w:val="16"/>
                <w:szCs w:val="16"/>
              </w:rPr>
              <w:t xml:space="preserve">Symptômes (catalogue)</w:t>
            </w:r>
          </w:p>
        </w:tc>
        <w:tc>
          <w:tcPr>
            <w:tcW w:type="dxa" w:w="3400"/>
            <w:shd w:fill="1F3864" w:val="clear"/>
          </w:tcPr>
          <w:p>
            <w:r>
              <w:rPr>
                <w:b/>
                <w:bCs/>
                <w:color w:val="FFFFFF"/>
                <w:sz w:val="16"/>
                <w:szCs w:val="16"/>
              </w:rPr>
              <w:t xml:space="preserve">Variables d'intérêt</w:t>
            </w:r>
          </w:p>
        </w:tc>
        <w:tc>
          <w:tcPr>
            <w:tcW w:type="dxa" w:w="1600"/>
            <w:shd w:fill="1F3864" w:val="clear"/>
          </w:tcPr>
          <w:p>
            <w:r>
              <w:rPr>
                <w:b/>
                <w:bCs/>
                <w:color w:val="FFFFFF"/>
                <w:sz w:val="16"/>
                <w:szCs w:val="16"/>
              </w:rPr>
              <w:t xml:space="preserve">Sources (IDs)</w:t>
            </w:r>
          </w:p>
        </w:tc>
      </w:tr>
      <w:tr>
        <w:tc>
          <w:tcPr>
            <w:tcW w:type="dxa" w:w="2100"/>
            <w:shd w:fill="DEEAF6" w:val="clear"/>
          </w:tcPr>
          <w:p>
            <w:r>
              <w:rPr>
                <w:b/>
                <w:bCs/>
                <w:sz w:val="16"/>
                <w:szCs w:val="16"/>
              </w:rPr>
              <w:t xml:space="preserve">Coqueluche (Pertussis)</w:t>
            </w:r>
          </w:p>
        </w:tc>
        <w:tc>
          <w:tcPr>
            <w:tcW w:type="dxa" w:w="2700"/>
          </w:tcPr>
          <w:p>
            <w:r>
              <w:rPr>
                <w:b w:val="false"/>
                <w:bCs w:val="false"/>
                <w:sz w:val="16"/>
                <w:szCs w:val="16"/>
              </w:rPr>
              <w:t xml:space="preserve">Toux d'au moins deux semaines, quintes avec reprise inspiratoire bruyante, vomissements post-tussifs, apnées du nourrisson</w:t>
            </w:r>
          </w:p>
        </w:tc>
        <w:tc>
          <w:tcPr>
            <w:tcW w:type="dxa" w:w="3400"/>
          </w:tcPr>
          <w:p>
            <w:r>
              <w:rPr>
                <w:b w:val="false"/>
                <w:bCs w:val="false"/>
                <w:sz w:val="16"/>
                <w:szCs w:val="16"/>
              </w:rPr>
              <w:t xml:space="preserve">Incidence déclarée; couverture vaccinale et rappels; cycles pluriannuels; structure d'âge fine (nourrissons); calendrier scolaire</w:t>
            </w:r>
          </w:p>
        </w:tc>
        <w:tc>
          <w:tcPr>
            <w:tcW w:type="dxa" w:w="1600"/>
          </w:tcPr>
          <w:p>
            <w:r>
              <w:rPr>
                <w:b w:val="false"/>
                <w:bCs w:val="false"/>
                <w:sz w:val="16"/>
                <w:szCs w:val="16"/>
              </w:rPr>
              <w:t xml:space="preserve">D03, D04, D06, D13, D15, D16, D18</w:t>
            </w:r>
          </w:p>
        </w:tc>
      </w:tr>
      <w:tr>
        <w:tc>
          <w:tcPr>
            <w:tcW w:type="dxa" w:w="2100"/>
            <w:shd w:fill="DEEAF6" w:val="clear"/>
          </w:tcPr>
          <w:p>
            <w:r>
              <w:rPr>
                <w:b/>
                <w:bCs/>
                <w:sz w:val="16"/>
                <w:szCs w:val="16"/>
              </w:rPr>
              <w:t xml:space="preserve">Tuberculose multirésistante</w:t>
            </w:r>
          </w:p>
        </w:tc>
        <w:tc>
          <w:tcPr>
            <w:tcW w:type="dxa" w:w="2700"/>
            <w:shd w:fill="F7F7F7" w:val="clear"/>
          </w:tcPr>
          <w:p>
            <w:r>
              <w:rPr>
                <w:b w:val="false"/>
                <w:bCs w:val="false"/>
                <w:sz w:val="16"/>
                <w:szCs w:val="16"/>
              </w:rPr>
              <w:t xml:space="preserve">Toux persistante, perte de poids, sueurs nocturnes; signes radiologiques compatibles</w:t>
            </w:r>
          </w:p>
        </w:tc>
        <w:tc>
          <w:tcPr>
            <w:tcW w:type="dxa" w:w="3400"/>
            <w:shd w:fill="F7F7F7" w:val="clear"/>
          </w:tcPr>
          <w:p>
            <w:r>
              <w:rPr>
                <w:b w:val="false"/>
                <w:bCs w:val="false"/>
                <w:sz w:val="16"/>
                <w:szCs w:val="16"/>
              </w:rPr>
              <w:t xml:space="preserve">Incidence déclarée; issues de traitement; populations à risque (défavorisation, Swiss-SEP); charge hospitalière de fond</w:t>
            </w:r>
          </w:p>
        </w:tc>
        <w:tc>
          <w:tcPr>
            <w:tcW w:type="dxa" w:w="1600"/>
          </w:tcPr>
          <w:p>
            <w:r>
              <w:rPr>
                <w:b w:val="false"/>
                <w:bCs w:val="false"/>
                <w:sz w:val="16"/>
                <w:szCs w:val="16"/>
              </w:rPr>
              <w:t xml:space="preserve">D04, D06, D07, D12, D13, D14</w:t>
            </w:r>
          </w:p>
        </w:tc>
      </w:tr>
      <w:tr>
        <w:tc>
          <w:tcPr>
            <w:tcW w:type="dxa" w:w="2100"/>
            <w:shd w:fill="DEEAF6" w:val="clear"/>
          </w:tcPr>
          <w:p>
            <w:r>
              <w:rPr>
                <w:b/>
                <w:bCs/>
                <w:sz w:val="16"/>
                <w:szCs w:val="16"/>
              </w:rPr>
              <w:t xml:space="preserve">Diphtérie</w:t>
            </w:r>
          </w:p>
        </w:tc>
        <w:tc>
          <w:tcPr>
            <w:tcW w:type="dxa" w:w="2700"/>
          </w:tcPr>
          <w:p>
            <w:r>
              <w:rPr>
                <w:b w:val="false"/>
                <w:bCs w:val="false"/>
                <w:sz w:val="16"/>
                <w:szCs w:val="16"/>
              </w:rPr>
              <w:t xml:space="preserve">Laryngite, rhinopharyngite ou angine avec membranes adhérentes; formes cutanées</w:t>
            </w:r>
          </w:p>
        </w:tc>
        <w:tc>
          <w:tcPr>
            <w:tcW w:type="dxa" w:w="3400"/>
          </w:tcPr>
          <w:p>
            <w:r>
              <w:rPr>
                <w:b w:val="false"/>
                <w:bCs w:val="false"/>
                <w:sz w:val="16"/>
                <w:szCs w:val="16"/>
              </w:rPr>
              <w:t xml:space="preserve">Incidence déclarée (rare); couverture vaccinale</w:t>
            </w:r>
          </w:p>
        </w:tc>
        <w:tc>
          <w:tcPr>
            <w:tcW w:type="dxa" w:w="1600"/>
          </w:tcPr>
          <w:p>
            <w:r>
              <w:rPr>
                <w:b w:val="false"/>
                <w:bCs w:val="false"/>
                <w:sz w:val="16"/>
                <w:szCs w:val="16"/>
              </w:rPr>
              <w:t xml:space="preserve">D04, D16</w:t>
            </w:r>
          </w:p>
        </w:tc>
      </w:tr>
      <w:tr>
        <w:tc>
          <w:tcPr>
            <w:tcW w:type="dxa" w:w="2100"/>
            <w:shd w:fill="DEEAF6" w:val="clear"/>
          </w:tcPr>
          <w:p>
            <w:r>
              <w:rPr>
                <w:b/>
                <w:bCs/>
                <w:sz w:val="16"/>
                <w:szCs w:val="16"/>
              </w:rPr>
              <w:t xml:space="preserve">SRAS (SARS-CoV-1)</w:t>
            </w:r>
          </w:p>
        </w:tc>
        <w:tc>
          <w:tcPr>
            <w:tcW w:type="dxa" w:w="2700"/>
            <w:shd w:fill="F7F7F7" w:val="clear"/>
          </w:tcPr>
          <w:p>
            <w:r>
              <w:rPr>
                <w:b w:val="false"/>
                <w:bCs w:val="false"/>
                <w:sz w:val="16"/>
                <w:szCs w:val="16"/>
              </w:rPr>
              <w:t xml:space="preserve">Fièvre, toux, dyspnée, pneumonie ou SDRA radiologique</w:t>
            </w:r>
          </w:p>
        </w:tc>
        <w:tc>
          <w:tcPr>
            <w:tcW w:type="dxa" w:w="3400"/>
            <w:shd w:fill="F7F7F7" w:val="clear"/>
          </w:tcPr>
          <w:p>
            <w:r>
              <w:rPr>
                <w:b w:val="false"/>
                <w:bCs w:val="false"/>
                <w:sz w:val="16"/>
                <w:szCs w:val="16"/>
              </w:rPr>
              <w:t xml:space="preserve">Scénario de préparation : détection de cas importés, surdispersion (superspreading), capacité hospitalière</w:t>
            </w:r>
          </w:p>
        </w:tc>
        <w:tc>
          <w:tcPr>
            <w:tcW w:type="dxa" w:w="1600"/>
          </w:tcPr>
          <w:p>
            <w:r>
              <w:rPr>
                <w:b w:val="false"/>
                <w:bCs w:val="false"/>
                <w:sz w:val="16"/>
                <w:szCs w:val="16"/>
              </w:rPr>
              <w:t xml:space="preserve">D04, D07</w:t>
            </w:r>
          </w:p>
        </w:tc>
      </w:tr>
      <w:tr>
        <w:tc>
          <w:tcPr>
            <w:tcW w:type="dxa" w:w="2100"/>
            <w:shd w:fill="DEEAF6" w:val="clear"/>
          </w:tcPr>
          <w:p>
            <w:r>
              <w:rPr>
                <w:b/>
                <w:bCs/>
                <w:sz w:val="16"/>
                <w:szCs w:val="16"/>
              </w:rPr>
              <w:t xml:space="preserve">Maladie invasive à pneumocoque</w:t>
            </w:r>
          </w:p>
        </w:tc>
        <w:tc>
          <w:tcPr>
            <w:tcW w:type="dxa" w:w="2700"/>
          </w:tcPr>
          <w:p>
            <w:r>
              <w:rPr>
                <w:b w:val="false"/>
                <w:bCs w:val="false"/>
                <w:sz w:val="16"/>
                <w:szCs w:val="16"/>
              </w:rPr>
              <w:t xml:space="preserve">Douleur thoracique, toux, fièvre et frissons, polypnée</w:t>
            </w:r>
          </w:p>
        </w:tc>
        <w:tc>
          <w:tcPr>
            <w:tcW w:type="dxa" w:w="3400"/>
          </w:tcPr>
          <w:p>
            <w:r>
              <w:rPr>
                <w:b w:val="false"/>
                <w:bCs w:val="false"/>
                <w:sz w:val="16"/>
                <w:szCs w:val="16"/>
              </w:rPr>
              <w:t xml:space="preserve">Incidence invasive déclarée; sérotypes; couverture vaccinale conjuguée; structure d'âge</w:t>
            </w:r>
          </w:p>
        </w:tc>
        <w:tc>
          <w:tcPr>
            <w:tcW w:type="dxa" w:w="1600"/>
          </w:tcPr>
          <w:p>
            <w:r>
              <w:rPr>
                <w:b w:val="false"/>
                <w:bCs w:val="false"/>
                <w:sz w:val="16"/>
                <w:szCs w:val="16"/>
              </w:rPr>
              <w:t xml:space="preserve">D04, D06, D07, D13, D16</w:t>
            </w:r>
          </w:p>
        </w:tc>
      </w:tr>
      <w:tr>
        <w:tc>
          <w:tcPr>
            <w:tcW w:type="dxa" w:w="2100"/>
            <w:shd w:fill="DEEAF6" w:val="clear"/>
          </w:tcPr>
          <w:p>
            <w:r>
              <w:rPr>
                <w:b/>
                <w:bCs/>
                <w:sz w:val="16"/>
                <w:szCs w:val="16"/>
              </w:rPr>
              <w:t xml:space="preserve">Maladie invasive à méningocoque</w:t>
            </w:r>
          </w:p>
        </w:tc>
        <w:tc>
          <w:tcPr>
            <w:tcW w:type="dxa" w:w="2700"/>
            <w:shd w:fill="F7F7F7" w:val="clear"/>
          </w:tcPr>
          <w:p>
            <w:r>
              <w:rPr>
                <w:b w:val="false"/>
                <w:bCs w:val="false"/>
                <w:sz w:val="16"/>
                <w:szCs w:val="16"/>
              </w:rPr>
              <w:t xml:space="preserve">Pneumonie; méningite (confusion, fièvre, céphalées, photophobie, raideur de nuque); bactériémie</w:t>
            </w:r>
          </w:p>
        </w:tc>
        <w:tc>
          <w:tcPr>
            <w:tcW w:type="dxa" w:w="3400"/>
            <w:shd w:fill="F7F7F7" w:val="clear"/>
          </w:tcPr>
          <w:p>
            <w:r>
              <w:rPr>
                <w:b w:val="false"/>
                <w:bCs w:val="false"/>
                <w:sz w:val="16"/>
                <w:szCs w:val="16"/>
              </w:rPr>
              <w:t xml:space="preserve">Incidence invasive déclarée; couverture vaccinale ACWY et B; détection de clusters</w:t>
            </w:r>
          </w:p>
        </w:tc>
        <w:tc>
          <w:tcPr>
            <w:tcW w:type="dxa" w:w="1600"/>
          </w:tcPr>
          <w:p>
            <w:r>
              <w:rPr>
                <w:b w:val="false"/>
                <w:bCs w:val="false"/>
                <w:sz w:val="16"/>
                <w:szCs w:val="16"/>
              </w:rPr>
              <w:t xml:space="preserve">D04, D06, D13, D16</w:t>
            </w:r>
          </w:p>
        </w:tc>
      </w:tr>
      <w:tr>
        <w:tc>
          <w:tcPr>
            <w:tcW w:type="dxa" w:w="2100"/>
            <w:shd w:fill="DEEAF6" w:val="clear"/>
          </w:tcPr>
          <w:p>
            <w:r>
              <w:rPr>
                <w:b/>
                <w:bCs/>
                <w:sz w:val="16"/>
                <w:szCs w:val="16"/>
              </w:rPr>
              <w:t xml:space="preserve">Maladie invasive à Haemophilus influenzae</w:t>
            </w:r>
          </w:p>
        </w:tc>
        <w:tc>
          <w:tcPr>
            <w:tcW w:type="dxa" w:w="2700"/>
          </w:tcPr>
          <w:p>
            <w:r>
              <w:rPr>
                <w:b w:val="false"/>
                <w:bCs w:val="false"/>
                <w:sz w:val="16"/>
                <w:szCs w:val="16"/>
              </w:rPr>
              <w:t xml:space="preserve">Non spécifique, selon le site : méningite, pneumonie, bactériémie</w:t>
            </w:r>
          </w:p>
        </w:tc>
        <w:tc>
          <w:tcPr>
            <w:tcW w:type="dxa" w:w="3400"/>
          </w:tcPr>
          <w:p>
            <w:r>
              <w:rPr>
                <w:b w:val="false"/>
                <w:bCs w:val="false"/>
                <w:sz w:val="16"/>
                <w:szCs w:val="16"/>
              </w:rPr>
              <w:t xml:space="preserve">Incidence invasive déclarée; couverture vaccinale Hib</w:t>
            </w:r>
          </w:p>
        </w:tc>
        <w:tc>
          <w:tcPr>
            <w:tcW w:type="dxa" w:w="1600"/>
          </w:tcPr>
          <w:p>
            <w:r>
              <w:rPr>
                <w:b w:val="false"/>
                <w:bCs w:val="false"/>
                <w:sz w:val="16"/>
                <w:szCs w:val="16"/>
              </w:rPr>
              <w:t xml:space="preserve">D04, D06, D13, D16</w:t>
            </w:r>
          </w:p>
        </w:tc>
      </w:tr>
    </w:tbl>
    <w:p>
      <w:pPr>
        <w:pStyle w:val="Heading2"/>
        <w:spacing w:after="120" w:before="260"/>
      </w:pPr>
      <w:r>
        <w:t xml:space="preserve">2.3 Priorité 3 : infections respiratoires à source environnementale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400"/>
        <w:gridCol w:w="1600"/>
      </w:tblGrid>
      <w:tr>
        <w:trPr>
          <w:tblHeader/>
        </w:trPr>
        <w:tc>
          <w:tcPr>
            <w:tcW w:type="dxa" w:w="2100"/>
            <w:shd w:fill="1F3864" w:val="clear"/>
          </w:tcPr>
          <w:p>
            <w:r>
              <w:rPr>
                <w:b/>
                <w:bCs/>
                <w:color w:val="FFFFFF"/>
                <w:sz w:val="16"/>
                <w:szCs w:val="16"/>
              </w:rPr>
              <w:t xml:space="preserve">Maladie</w:t>
            </w:r>
          </w:p>
        </w:tc>
        <w:tc>
          <w:tcPr>
            <w:tcW w:type="dxa" w:w="2700"/>
            <w:shd w:fill="1F3864" w:val="clear"/>
          </w:tcPr>
          <w:p>
            <w:r>
              <w:rPr>
                <w:b/>
                <w:bCs/>
                <w:color w:val="FFFFFF"/>
                <w:sz w:val="16"/>
                <w:szCs w:val="16"/>
              </w:rPr>
              <w:t xml:space="preserve">Symptômes (catalogue)</w:t>
            </w:r>
          </w:p>
        </w:tc>
        <w:tc>
          <w:tcPr>
            <w:tcW w:type="dxa" w:w="3400"/>
            <w:shd w:fill="1F3864" w:val="clear"/>
          </w:tcPr>
          <w:p>
            <w:r>
              <w:rPr>
                <w:b/>
                <w:bCs/>
                <w:color w:val="FFFFFF"/>
                <w:sz w:val="16"/>
                <w:szCs w:val="16"/>
              </w:rPr>
              <w:t xml:space="preserve">Variables d'intérêt</w:t>
            </w:r>
          </w:p>
        </w:tc>
        <w:tc>
          <w:tcPr>
            <w:tcW w:type="dxa" w:w="1600"/>
            <w:shd w:fill="1F3864" w:val="clear"/>
          </w:tcPr>
          <w:p>
            <w:r>
              <w:rPr>
                <w:b/>
                <w:bCs/>
                <w:color w:val="FFFFFF"/>
                <w:sz w:val="16"/>
                <w:szCs w:val="16"/>
              </w:rPr>
              <w:t xml:space="preserve">Sources (IDs)</w:t>
            </w:r>
          </w:p>
        </w:tc>
      </w:tr>
      <w:tr>
        <w:tc>
          <w:tcPr>
            <w:tcW w:type="dxa" w:w="2100"/>
            <w:shd w:fill="FCE4D6" w:val="clear"/>
          </w:tcPr>
          <w:p>
            <w:r>
              <w:rPr>
                <w:b/>
                <w:bCs/>
                <w:sz w:val="16"/>
                <w:szCs w:val="16"/>
              </w:rPr>
              <w:t xml:space="preserve">Légionellose</w:t>
            </w:r>
          </w:p>
        </w:tc>
        <w:tc>
          <w:tcPr>
            <w:tcW w:type="dxa" w:w="2700"/>
          </w:tcPr>
          <w:p>
            <w:r>
              <w:rPr>
                <w:b w:val="false"/>
                <w:bCs w:val="false"/>
                <w:sz w:val="16"/>
                <w:szCs w:val="16"/>
              </w:rPr>
              <w:t xml:space="preserve">Pneumonie</w:t>
            </w:r>
          </w:p>
        </w:tc>
        <w:tc>
          <w:tcPr>
            <w:tcW w:type="dxa" w:w="3400"/>
          </w:tcPr>
          <w:p>
            <w:r>
              <w:rPr>
                <w:b w:val="false"/>
                <w:bCs w:val="false"/>
                <w:sz w:val="16"/>
                <w:szCs w:val="16"/>
              </w:rPr>
              <w:t xml:space="preserve">Cas déclarés en 24 heures; localisation résidentielle des cas; cartographie des sources potentielles (réseaux d'eau chaude sanitaire, tours aéroréfrigérantes); météo (humidité, précipitations)</w:t>
            </w:r>
          </w:p>
        </w:tc>
        <w:tc>
          <w:tcPr>
            <w:tcW w:type="dxa" w:w="1600"/>
          </w:tcPr>
          <w:p>
            <w:r>
              <w:rPr>
                <w:b w:val="false"/>
                <w:bCs w:val="false"/>
                <w:sz w:val="16"/>
                <w:szCs w:val="16"/>
              </w:rPr>
              <w:t xml:space="preserve">D04b, D06, D10, D11</w:t>
            </w:r>
          </w:p>
        </w:tc>
      </w:tr>
      <w:tr>
        <w:tc>
          <w:tcPr>
            <w:tcW w:type="dxa" w:w="2100"/>
            <w:shd w:fill="FCE4D6" w:val="clear"/>
          </w:tcPr>
          <w:p>
            <w:r>
              <w:rPr>
                <w:b/>
                <w:bCs/>
                <w:sz w:val="16"/>
                <w:szCs w:val="16"/>
              </w:rPr>
              <w:t xml:space="preserve">Fièvre Q</w:t>
            </w:r>
          </w:p>
        </w:tc>
        <w:tc>
          <w:tcPr>
            <w:tcW w:type="dxa" w:w="2700"/>
            <w:shd w:fill="F7F7F7" w:val="clear"/>
          </w:tcPr>
          <w:p>
            <w:r>
              <w:rPr>
                <w:b w:val="false"/>
                <w:bCs w:val="false"/>
                <w:sz w:val="16"/>
                <w:szCs w:val="16"/>
              </w:rPr>
              <w:t xml:space="preserve">Fièvre, pneumonie, hépatite</w:t>
            </w:r>
          </w:p>
        </w:tc>
        <w:tc>
          <w:tcPr>
            <w:tcW w:type="dxa" w:w="3400"/>
            <w:shd w:fill="F7F7F7" w:val="clear"/>
          </w:tcPr>
          <w:p>
            <w:r>
              <w:rPr>
                <w:b w:val="false"/>
                <w:bCs w:val="false"/>
                <w:sz w:val="16"/>
                <w:szCs w:val="16"/>
              </w:rPr>
              <w:t xml:space="preserve">Cas déclarés; proximité d'élevages caprins et ovins; vent et poussières</w:t>
            </w:r>
          </w:p>
        </w:tc>
        <w:tc>
          <w:tcPr>
            <w:tcW w:type="dxa" w:w="1600"/>
          </w:tcPr>
          <w:p>
            <w:r>
              <w:rPr>
                <w:b w:val="false"/>
                <w:bCs w:val="false"/>
                <w:sz w:val="16"/>
                <w:szCs w:val="16"/>
              </w:rPr>
              <w:t xml:space="preserve">D04, D10, D11</w:t>
            </w:r>
          </w:p>
        </w:tc>
      </w:tr>
      <w:tr>
        <w:tc>
          <w:tcPr>
            <w:tcW w:type="dxa" w:w="2100"/>
            <w:shd w:fill="FCE4D6" w:val="clear"/>
          </w:tcPr>
          <w:p>
            <w:r>
              <w:rPr>
                <w:b/>
                <w:bCs/>
                <w:sz w:val="16"/>
                <w:szCs w:val="16"/>
              </w:rPr>
              <w:t xml:space="preserve">Syndrome pulmonaire à hantavirus</w:t>
            </w:r>
          </w:p>
        </w:tc>
        <w:tc>
          <w:tcPr>
            <w:tcW w:type="dxa" w:w="2700"/>
          </w:tcPr>
          <w:p>
            <w:r>
              <w:rPr>
                <w:b w:val="false"/>
                <w:bCs w:val="false"/>
                <w:sz w:val="16"/>
                <w:szCs w:val="16"/>
              </w:rPr>
              <w:t xml:space="preserve">Prodrome fébrile avec myalgies, céphalées et troubles digestifs, puis toux, détresse respiratoire, hypotension</w:t>
            </w:r>
          </w:p>
        </w:tc>
        <w:tc>
          <w:tcPr>
            <w:tcW w:type="dxa" w:w="3400"/>
          </w:tcPr>
          <w:p>
            <w:r>
              <w:rPr>
                <w:b w:val="false"/>
                <w:bCs w:val="false"/>
                <w:sz w:val="16"/>
                <w:szCs w:val="16"/>
              </w:rPr>
              <w:t xml:space="preserve">Cas déclarés; exposition au réservoir rongeur</w:t>
            </w:r>
          </w:p>
        </w:tc>
        <w:tc>
          <w:tcPr>
            <w:tcW w:type="dxa" w:w="1600"/>
          </w:tcPr>
          <w:p>
            <w:r>
              <w:rPr>
                <w:b w:val="false"/>
                <w:bCs w:val="false"/>
                <w:sz w:val="16"/>
                <w:szCs w:val="16"/>
              </w:rPr>
              <w:t xml:space="preserve">D04</w:t>
            </w:r>
          </w:p>
        </w:tc>
      </w:tr>
    </w:tbl>
    <w:p>
      <w:pPr>
        <w:pStyle w:val="Heading2"/>
        <w:spacing w:after="120" w:before="260"/>
      </w:pPr>
      <w:r>
        <w:t xml:space="preserve">2.4 Priorité 4 : veille pandémique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400"/>
        <w:gridCol w:w="1600"/>
      </w:tblGrid>
      <w:tr>
        <w:trPr>
          <w:tblHeader/>
        </w:trPr>
        <w:tc>
          <w:tcPr>
            <w:tcW w:type="dxa" w:w="2100"/>
            <w:shd w:fill="1F3864" w:val="clear"/>
          </w:tcPr>
          <w:p>
            <w:r>
              <w:rPr>
                <w:b/>
                <w:bCs/>
                <w:color w:val="FFFFFF"/>
                <w:sz w:val="16"/>
                <w:szCs w:val="16"/>
              </w:rPr>
              <w:t xml:space="preserve">Maladie</w:t>
            </w:r>
          </w:p>
        </w:tc>
        <w:tc>
          <w:tcPr>
            <w:tcW w:type="dxa" w:w="2700"/>
            <w:shd w:fill="1F3864" w:val="clear"/>
          </w:tcPr>
          <w:p>
            <w:r>
              <w:rPr>
                <w:b/>
                <w:bCs/>
                <w:color w:val="FFFFFF"/>
                <w:sz w:val="16"/>
                <w:szCs w:val="16"/>
              </w:rPr>
              <w:t xml:space="preserve">Symptômes (catalogue)</w:t>
            </w:r>
          </w:p>
        </w:tc>
        <w:tc>
          <w:tcPr>
            <w:tcW w:type="dxa" w:w="3400"/>
            <w:shd w:fill="1F3864" w:val="clear"/>
          </w:tcPr>
          <w:p>
            <w:r>
              <w:rPr>
                <w:b/>
                <w:bCs/>
                <w:color w:val="FFFFFF"/>
                <w:sz w:val="16"/>
                <w:szCs w:val="16"/>
              </w:rPr>
              <w:t xml:space="preserve">Variables d'intérêt</w:t>
            </w:r>
          </w:p>
        </w:tc>
        <w:tc>
          <w:tcPr>
            <w:tcW w:type="dxa" w:w="1600"/>
            <w:shd w:fill="1F3864" w:val="clear"/>
          </w:tcPr>
          <w:p>
            <w:r>
              <w:rPr>
                <w:b/>
                <w:bCs/>
                <w:color w:val="FFFFFF"/>
                <w:sz w:val="16"/>
                <w:szCs w:val="16"/>
              </w:rPr>
              <w:t xml:space="preserve">Sources (IDs)</w:t>
            </w:r>
          </w:p>
        </w:tc>
      </w:tr>
      <w:tr>
        <w:tc>
          <w:tcPr>
            <w:tcW w:type="dxa" w:w="2100"/>
            <w:shd w:fill="FFF2CC" w:val="clear"/>
          </w:tcPr>
          <w:p>
            <w:r>
              <w:rPr>
                <w:b/>
                <w:bCs/>
                <w:sz w:val="16"/>
                <w:szCs w:val="16"/>
              </w:rPr>
              <w:t xml:space="preserve">MERS-CoV</w:t>
            </w:r>
          </w:p>
        </w:tc>
        <w:tc>
          <w:tcPr>
            <w:tcW w:type="dxa" w:w="2700"/>
          </w:tcPr>
          <w:p>
            <w:r>
              <w:rPr>
                <w:b w:val="false"/>
                <w:bCs w:val="false"/>
                <w:sz w:val="16"/>
                <w:szCs w:val="16"/>
              </w:rPr>
              <w:t xml:space="preserve">Toux, fièvre, dyspnée, diarrhée, nausées et vomissements</w:t>
            </w:r>
          </w:p>
        </w:tc>
        <w:tc>
          <w:tcPr>
            <w:tcW w:type="dxa" w:w="3400"/>
          </w:tcPr>
          <w:p>
            <w:r>
              <w:rPr>
                <w:b w:val="false"/>
                <w:bCs w:val="false"/>
                <w:sz w:val="16"/>
                <w:szCs w:val="16"/>
              </w:rPr>
              <w:t xml:space="preserve">Cas importés et historique de voyage; alertes internationales (OMS); signal de bascule vers une transmission interhumaine soutenue</w:t>
            </w:r>
          </w:p>
        </w:tc>
        <w:tc>
          <w:tcPr>
            <w:tcW w:type="dxa" w:w="1600"/>
          </w:tcPr>
          <w:p>
            <w:r>
              <w:rPr>
                <w:b w:val="false"/>
                <w:bCs w:val="false"/>
                <w:sz w:val="16"/>
                <w:szCs w:val="16"/>
              </w:rPr>
              <w:t xml:space="preserve">D04</w:t>
            </w:r>
          </w:p>
        </w:tc>
      </w:tr>
      <w:tr>
        <w:tc>
          <w:tcPr>
            <w:tcW w:type="dxa" w:w="2100"/>
            <w:shd w:fill="FFF2CC" w:val="clear"/>
          </w:tcPr>
          <w:p>
            <w:r>
              <w:rPr>
                <w:b/>
                <w:bCs/>
                <w:sz w:val="16"/>
                <w:szCs w:val="16"/>
              </w:rPr>
              <w:t xml:space="preserve">Virus Nipah</w:t>
            </w:r>
          </w:p>
        </w:tc>
        <w:tc>
          <w:tcPr>
            <w:tcW w:type="dxa" w:w="2700"/>
            <w:shd w:fill="F7F7F7" w:val="clear"/>
          </w:tcPr>
          <w:p>
            <w:r>
              <w:rPr>
                <w:b w:val="false"/>
                <w:bCs w:val="false"/>
                <w:sz w:val="16"/>
                <w:szCs w:val="16"/>
              </w:rPr>
              <w:t xml:space="preserve">Fièvre, céphalées, myalgies, nausées, maux de gorge, toux, gêne respiratoire, encéphalite</w:t>
            </w:r>
          </w:p>
        </w:tc>
        <w:tc>
          <w:tcPr>
            <w:tcW w:type="dxa" w:w="3400"/>
            <w:shd w:fill="F7F7F7" w:val="clear"/>
          </w:tcPr>
          <w:p>
            <w:r>
              <w:rPr>
                <w:b w:val="false"/>
                <w:bCs w:val="false"/>
                <w:sz w:val="16"/>
                <w:szCs w:val="16"/>
              </w:rPr>
              <w:t xml:space="preserve">Alertes internationales (OMS); aucune source locale : veille documentaire uniquement</w:t>
            </w:r>
          </w:p>
        </w:tc>
        <w:tc>
          <w:tcPr>
            <w:tcW w:type="dxa" w:w="1600"/>
          </w:tcPr>
          <w:p>
            <w:r>
              <w:rPr>
                <w:b w:val="false"/>
                <w:bCs w:val="false"/>
                <w:sz w:val="16"/>
                <w:szCs w:val="16"/>
              </w:rPr>
              <w:t xml:space="preserve">(veille / scénario)</w:t>
            </w:r>
          </w:p>
        </w:tc>
      </w:tr>
    </w:tbl>
    <w:p>
      <w:pPr>
        <w:pStyle w:val="Heading2"/>
        <w:spacing w:after="120" w:before="260"/>
      </w:pPr>
      <w:r>
        <w:t xml:space="preserve">2.5 Priorité 5 : transmission respiratoire, clinique non respiratoire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400"/>
        <w:gridCol w:w="1600"/>
      </w:tblGrid>
      <w:tr>
        <w:trPr>
          <w:tblHeader/>
        </w:trPr>
        <w:tc>
          <w:tcPr>
            <w:tcW w:type="dxa" w:w="2100"/>
            <w:shd w:fill="1F3864" w:val="clear"/>
          </w:tcPr>
          <w:p>
            <w:r>
              <w:rPr>
                <w:b/>
                <w:bCs/>
                <w:color w:val="FFFFFF"/>
                <w:sz w:val="16"/>
                <w:szCs w:val="16"/>
              </w:rPr>
              <w:t xml:space="preserve">Maladie</w:t>
            </w:r>
          </w:p>
        </w:tc>
        <w:tc>
          <w:tcPr>
            <w:tcW w:type="dxa" w:w="2700"/>
            <w:shd w:fill="1F3864" w:val="clear"/>
          </w:tcPr>
          <w:p>
            <w:r>
              <w:rPr>
                <w:b/>
                <w:bCs/>
                <w:color w:val="FFFFFF"/>
                <w:sz w:val="16"/>
                <w:szCs w:val="16"/>
              </w:rPr>
              <w:t xml:space="preserve">Symptômes (catalogue)</w:t>
            </w:r>
          </w:p>
        </w:tc>
        <w:tc>
          <w:tcPr>
            <w:tcW w:type="dxa" w:w="3400"/>
            <w:shd w:fill="1F3864" w:val="clear"/>
          </w:tcPr>
          <w:p>
            <w:r>
              <w:rPr>
                <w:b/>
                <w:bCs/>
                <w:color w:val="FFFFFF"/>
                <w:sz w:val="16"/>
                <w:szCs w:val="16"/>
              </w:rPr>
              <w:t xml:space="preserve">Variables d'intérêt</w:t>
            </w:r>
          </w:p>
        </w:tc>
        <w:tc>
          <w:tcPr>
            <w:tcW w:type="dxa" w:w="1600"/>
            <w:shd w:fill="1F3864" w:val="clear"/>
          </w:tcPr>
          <w:p>
            <w:r>
              <w:rPr>
                <w:b/>
                <w:bCs/>
                <w:color w:val="FFFFFF"/>
                <w:sz w:val="16"/>
                <w:szCs w:val="16"/>
              </w:rPr>
              <w:t xml:space="preserve">Sources (IDs)</w:t>
            </w:r>
          </w:p>
        </w:tc>
      </w:tr>
      <w:tr>
        <w:tc>
          <w:tcPr>
            <w:tcW w:type="dxa" w:w="2100"/>
            <w:shd w:fill="EDEDED" w:val="clear"/>
          </w:tcPr>
          <w:p>
            <w:r>
              <w:rPr>
                <w:b/>
                <w:bCs/>
                <w:sz w:val="16"/>
                <w:szCs w:val="16"/>
              </w:rPr>
              <w:t xml:space="preserve">Rougeole</w:t>
            </w:r>
          </w:p>
        </w:tc>
        <w:tc>
          <w:tcPr>
            <w:tcW w:type="dxa" w:w="2700"/>
          </w:tcPr>
          <w:p>
            <w:r>
              <w:rPr>
                <w:b w:val="false"/>
                <w:bCs w:val="false"/>
                <w:sz w:val="16"/>
                <w:szCs w:val="16"/>
              </w:rPr>
              <w:t xml:space="preserve">Fièvre, éruption maculo-papuleuse, toux, coryza ou conjonctivite</w:t>
            </w:r>
          </w:p>
        </w:tc>
        <w:tc>
          <w:tcPr>
            <w:tcW w:type="dxa" w:w="3400"/>
          </w:tcPr>
          <w:p>
            <w:r>
              <w:rPr>
                <w:b w:val="false"/>
                <w:bCs w:val="false"/>
                <w:sz w:val="16"/>
                <w:szCs w:val="16"/>
              </w:rPr>
              <w:t xml:space="preserve">Incidence déclarée; couverture vaccinale ROR et poches sous-vaccinées; structure d'âge; calendrier scolaire</w:t>
            </w:r>
          </w:p>
        </w:tc>
        <w:tc>
          <w:tcPr>
            <w:tcW w:type="dxa" w:w="1600"/>
          </w:tcPr>
          <w:p>
            <w:r>
              <w:rPr>
                <w:b w:val="false"/>
                <w:bCs w:val="false"/>
                <w:sz w:val="16"/>
                <w:szCs w:val="16"/>
              </w:rPr>
              <w:t xml:space="preserve">D04, D13, D15, D16</w:t>
            </w:r>
          </w:p>
        </w:tc>
      </w:tr>
      <w:tr>
        <w:tc>
          <w:tcPr>
            <w:tcW w:type="dxa" w:w="2100"/>
            <w:shd w:fill="EDEDED" w:val="clear"/>
          </w:tcPr>
          <w:p>
            <w:r>
              <w:rPr>
                <w:b/>
                <w:bCs/>
                <w:sz w:val="16"/>
                <w:szCs w:val="16"/>
              </w:rPr>
              <w:t xml:space="preserve">Oreillons</w:t>
            </w:r>
          </w:p>
        </w:tc>
        <w:tc>
          <w:tcPr>
            <w:tcW w:type="dxa" w:w="2700"/>
            <w:shd w:fill="F7F7F7" w:val="clear"/>
          </w:tcPr>
          <w:p>
            <w:r>
              <w:rPr>
                <w:b w:val="false"/>
                <w:bCs w:val="false"/>
                <w:sz w:val="16"/>
                <w:szCs w:val="16"/>
              </w:rPr>
              <w:t xml:space="preserve">Fièvre, tuméfaction parotidienne uni ou bilatérale, orchite, méningite</w:t>
            </w:r>
          </w:p>
        </w:tc>
        <w:tc>
          <w:tcPr>
            <w:tcW w:type="dxa" w:w="3400"/>
            <w:shd w:fill="F7F7F7" w:val="clear"/>
          </w:tcPr>
          <w:p>
            <w:r>
              <w:rPr>
                <w:b w:val="false"/>
                <w:bCs w:val="false"/>
                <w:sz w:val="16"/>
                <w:szCs w:val="16"/>
              </w:rPr>
              <w:t xml:space="preserve">Incidence déclarée; couverture vaccinale ROR; flambées en collectivités</w:t>
            </w:r>
          </w:p>
        </w:tc>
        <w:tc>
          <w:tcPr>
            <w:tcW w:type="dxa" w:w="1600"/>
          </w:tcPr>
          <w:p>
            <w:r>
              <w:rPr>
                <w:b w:val="false"/>
                <w:bCs w:val="false"/>
                <w:sz w:val="16"/>
                <w:szCs w:val="16"/>
              </w:rPr>
              <w:t xml:space="preserve">D04, D15, D16</w:t>
            </w:r>
          </w:p>
        </w:tc>
      </w:tr>
      <w:tr>
        <w:tc>
          <w:tcPr>
            <w:tcW w:type="dxa" w:w="2100"/>
            <w:shd w:fill="EDEDED" w:val="clear"/>
          </w:tcPr>
          <w:p>
            <w:r>
              <w:rPr>
                <w:b/>
                <w:bCs/>
                <w:sz w:val="16"/>
                <w:szCs w:val="16"/>
              </w:rPr>
              <w:t xml:space="preserve">Rubéole</w:t>
            </w:r>
          </w:p>
        </w:tc>
        <w:tc>
          <w:tcPr>
            <w:tcW w:type="dxa" w:w="2700"/>
          </w:tcPr>
          <w:p>
            <w:r>
              <w:rPr>
                <w:b w:val="false"/>
                <w:bCs w:val="false"/>
                <w:sz w:val="16"/>
                <w:szCs w:val="16"/>
              </w:rPr>
              <w:t xml:space="preserve">Éruption maculo-papuleuse généralisée d'apparition brutale, adénopathies, arthralgies</w:t>
            </w:r>
          </w:p>
        </w:tc>
        <w:tc>
          <w:tcPr>
            <w:tcW w:type="dxa" w:w="3400"/>
          </w:tcPr>
          <w:p>
            <w:r>
              <w:rPr>
                <w:b w:val="false"/>
                <w:bCs w:val="false"/>
                <w:sz w:val="16"/>
                <w:szCs w:val="16"/>
              </w:rPr>
              <w:t xml:space="preserve">Incidence déclarée; couverture vaccinale; protection des grossesses</w:t>
            </w:r>
          </w:p>
        </w:tc>
        <w:tc>
          <w:tcPr>
            <w:tcW w:type="dxa" w:w="1600"/>
          </w:tcPr>
          <w:p>
            <w:r>
              <w:rPr>
                <w:b w:val="false"/>
                <w:bCs w:val="false"/>
                <w:sz w:val="16"/>
                <w:szCs w:val="16"/>
              </w:rPr>
              <w:t xml:space="preserve">D04, D16</w:t>
            </w:r>
          </w:p>
        </w:tc>
      </w:tr>
      <w:tr>
        <w:tc>
          <w:tcPr>
            <w:tcW w:type="dxa" w:w="2100"/>
            <w:shd w:fill="EDEDED" w:val="clear"/>
          </w:tcPr>
          <w:p>
            <w:r>
              <w:rPr>
                <w:b/>
                <w:bCs/>
                <w:sz w:val="16"/>
                <w:szCs w:val="16"/>
              </w:rPr>
              <w:t xml:space="preserve">Poliomyélite</w:t>
            </w:r>
          </w:p>
        </w:tc>
        <w:tc>
          <w:tcPr>
            <w:tcW w:type="dxa" w:w="2700"/>
            <w:shd w:fill="F7F7F7" w:val="clear"/>
          </w:tcPr>
          <w:p>
            <w:r>
              <w:rPr>
                <w:b w:val="false"/>
                <w:bCs w:val="false"/>
                <w:sz w:val="16"/>
                <w:szCs w:val="16"/>
              </w:rPr>
              <w:t xml:space="preserve">Paralysie flasque aiguë</w:t>
            </w:r>
          </w:p>
        </w:tc>
        <w:tc>
          <w:tcPr>
            <w:tcW w:type="dxa" w:w="3400"/>
            <w:shd w:fill="F7F7F7" w:val="clear"/>
          </w:tcPr>
          <w:p>
            <w:r>
              <w:rPr>
                <w:b w:val="false"/>
                <w:bCs w:val="false"/>
                <w:sz w:val="16"/>
                <w:szCs w:val="16"/>
              </w:rPr>
              <w:t xml:space="preserve">Surveillance des paralysies flasques aiguës; surveillance environnementale des eaux usées; couverture vaccinale</w:t>
            </w:r>
          </w:p>
        </w:tc>
        <w:tc>
          <w:tcPr>
            <w:tcW w:type="dxa" w:w="1600"/>
          </w:tcPr>
          <w:p>
            <w:r>
              <w:rPr>
                <w:b w:val="false"/>
                <w:bCs w:val="false"/>
                <w:sz w:val="16"/>
                <w:szCs w:val="16"/>
              </w:rPr>
              <w:t xml:space="preserve">D04, D08, D16</w:t>
            </w:r>
          </w:p>
        </w:tc>
      </w:tr>
      <w:tr>
        <w:tc>
          <w:tcPr>
            <w:tcW w:type="dxa" w:w="2100"/>
            <w:shd w:fill="EDEDED" w:val="clear"/>
          </w:tcPr>
          <w:p>
            <w:r>
              <w:rPr>
                <w:b/>
                <w:bCs/>
                <w:sz w:val="16"/>
                <w:szCs w:val="16"/>
              </w:rPr>
              <w:t xml:space="preserve">Variole</w:t>
            </w:r>
          </w:p>
        </w:tc>
        <w:tc>
          <w:tcPr>
            <w:tcW w:type="dxa" w:w="2700"/>
          </w:tcPr>
          <w:p>
            <w:r>
              <w:rPr>
                <w:b w:val="false"/>
                <w:bCs w:val="false"/>
                <w:sz w:val="16"/>
                <w:szCs w:val="16"/>
              </w:rPr>
              <w:t xml:space="preserve">Fièvre, vésicules ou pustules fermes au même stade de développement, distribution centrifuge</w:t>
            </w:r>
          </w:p>
        </w:tc>
        <w:tc>
          <w:tcPr>
            <w:tcW w:type="dxa" w:w="3400"/>
          </w:tcPr>
          <w:p>
            <w:r>
              <w:rPr>
                <w:b w:val="false"/>
                <w:bCs w:val="false"/>
                <w:sz w:val="16"/>
                <w:szCs w:val="16"/>
              </w:rPr>
              <w:t xml:space="preserve">Scénario de préparation uniquement (maladie éradiquée)</w:t>
            </w:r>
          </w:p>
        </w:tc>
        <w:tc>
          <w:tcPr>
            <w:tcW w:type="dxa" w:w="1600"/>
          </w:tcPr>
          <w:p>
            <w:r>
              <w:rPr>
                <w:b w:val="false"/>
                <w:bCs w:val="false"/>
                <w:sz w:val="16"/>
                <w:szCs w:val="16"/>
              </w:rPr>
              <w:t xml:space="preserve">(veille / scénario)</w:t>
            </w:r>
          </w:p>
        </w:tc>
      </w:tr>
    </w:tbl>
    <w:p>
      <w:pPr>
        <w:spacing w:after="160" w:line="276"/>
      </w:pPr>
      <w:r>
        <w:t xml:space="preserve">La lecture verticale de ces tableaux confirme la hiérarchie du chapitre 1. La déclaration obligatoire (D04, D04b) sert 17 des 20 maladies et constitue l'épine dorsale du dispositif; la couverture vaccinale ou d'immunisation (D16) en sert 12; la statistique hospitalière (D06) en sert 9. Les sources à haute fréquence dessinent en revanche exactement la priorité 1 : Sentinella (D05) et les eaux usées (D08) ne couvrent en pratique que le COVID-19, la grippe et le VRS (la poliomyélite pour la seule surveillance environnementale), et les signaux 144, web et OTC ne sont exploitables que pour ces mêmes maladies. La détection précoce, et donc l'essentiel de la valeur ajoutée du système GESICA, se joue sur ces trois pathologies.</w:t>
      </w:r>
    </w:p>
    <w:p>
      <w:pPr>
        <w:pStyle w:val="Heading1"/>
        <w:spacing w:after="160" w:before="320"/>
      </w:pPr>
      <w:r>
        <w:t xml:space="preserve">3. Acteurs institutionnels</w:t>
      </w:r>
    </w:p>
    <w:p>
      <w:pPr>
        <w:spacing w:after="160" w:line="276"/>
      </w:pPr>
      <w:r>
        <w:t xml:space="preserve">La plupart des sources listées dans ce rapport ne sont pas des "bases de données" abstraites mais transitent par des acteurs institutionnels précis. Les identifier nominativement est indispensable pour engager des démarches d'accès concrètes. Le tableau ci-dessous résume, pour Genève et Vaud, les interlocuteurs pertinents pour la thématique respiratoire.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500"/>
      </w:tblGrid>
      <w:tr>
        <w:trPr>
          <w:tblHeader/>
        </w:trPr>
        <w:tc>
          <w:tcPr>
            <w:tcW w:type="dxa" w:w="2200"/>
            <w:shd w:fill="1F3864" w:val="clear"/>
          </w:tcPr>
          <w:p>
            <w:r>
              <w:rPr>
                <w:b/>
                <w:bCs/>
                <w:color w:val="FFFFFF"/>
                <w:sz w:val="18"/>
                <w:szCs w:val="18"/>
              </w:rPr>
              <w:t xml:space="preserve"/>
            </w:r>
          </w:p>
        </w:tc>
        <w:tc>
          <w:tcPr>
            <w:tcW w:type="dxa" w:w="3500"/>
            <w:shd w:fill="1F3864" w:val="clear"/>
          </w:tcPr>
          <w:p>
            <w:r>
              <w:rPr>
                <w:b/>
                <w:bCs/>
                <w:color w:val="FFFFFF"/>
                <w:sz w:val="18"/>
                <w:szCs w:val="18"/>
              </w:rPr>
              <w:t xml:space="preserve">Genève</w:t>
            </w:r>
          </w:p>
        </w:tc>
        <w:tc>
          <w:tcPr>
            <w:tcW w:type="dxa" w:w="3500"/>
            <w:shd w:fill="1F3864" w:val="clear"/>
          </w:tcPr>
          <w:p>
            <w:r>
              <w:rPr>
                <w:b/>
                <w:bCs/>
                <w:color w:val="FFFFFF"/>
                <w:sz w:val="18"/>
                <w:szCs w:val="18"/>
              </w:rPr>
              <w:t xml:space="preserve">Vaud</w:t>
            </w:r>
          </w:p>
        </w:tc>
      </w:tr>
      <w:tr>
        <w:tc>
          <w:tcPr>
            <w:tcW w:type="dxa" w:w="2200"/>
          </w:tcPr>
          <w:p>
            <w:r>
              <w:rPr>
                <w:b/>
                <w:bCs/>
                <w:sz w:val="18"/>
                <w:szCs w:val="18"/>
              </w:rPr>
              <w:t xml:space="preserve">Hôpital de référence</w:t>
            </w:r>
          </w:p>
        </w:tc>
        <w:tc>
          <w:tcPr>
            <w:tcW w:type="dxa" w:w="3500"/>
          </w:tcPr>
          <w:p>
            <w:r>
              <w:rPr>
                <w:b w:val="false"/>
                <w:bCs w:val="false"/>
                <w:sz w:val="18"/>
                <w:szCs w:val="18"/>
              </w:rPr>
              <w:t xml:space="preserve">HUG (Hôpitaux universitaires de Genève)</w:t>
            </w:r>
          </w:p>
        </w:tc>
        <w:tc>
          <w:tcPr>
            <w:tcW w:type="dxa" w:w="3500"/>
          </w:tcPr>
          <w:p>
            <w:r>
              <w:rPr>
                <w:b w:val="false"/>
                <w:bCs w:val="false"/>
                <w:sz w:val="18"/>
                <w:szCs w:val="18"/>
              </w:rPr>
              <w:t xml:space="preserve">CHUV (Centre hospitalier universitaire vaudois)</w:t>
            </w:r>
          </w:p>
        </w:tc>
      </w:tr>
      <w:tr>
        <w:tc>
          <w:tcPr>
            <w:tcW w:type="dxa" w:w="2200"/>
            <w:shd w:fill="F2F2F2" w:val="clear"/>
          </w:tcPr>
          <w:p>
            <w:r>
              <w:rPr>
                <w:b/>
                <w:bCs/>
                <w:sz w:val="18"/>
                <w:szCs w:val="18"/>
              </w:rPr>
              <w:t xml:space="preserve">Centrale 144</w:t>
            </w:r>
          </w:p>
        </w:tc>
        <w:tc>
          <w:tcPr>
            <w:tcW w:type="dxa" w:w="3500"/>
            <w:shd w:fill="F2F2F2" w:val="clear"/>
          </w:tcPr>
          <w:p>
            <w:r>
              <w:rPr>
                <w:b w:val="false"/>
                <w:bCs w:val="false"/>
                <w:sz w:val="18"/>
                <w:szCs w:val="18"/>
              </w:rPr>
              <w:t xml:space="preserve">CASU-144, opérée par les HUG</w:t>
            </w:r>
          </w:p>
        </w:tc>
        <w:tc>
          <w:tcPr>
            <w:tcW w:type="dxa" w:w="3500"/>
            <w:shd w:fill="F2F2F2" w:val="clear"/>
          </w:tcPr>
          <w:p>
            <w:r>
              <w:rPr>
                <w:b w:val="false"/>
                <w:bCs w:val="false"/>
                <w:sz w:val="18"/>
                <w:szCs w:val="18"/>
              </w:rPr>
              <w:t xml:space="preserve">CASU-144, rattachée au CHUV depuis 2023 (ex-Fondation Urgences Santé, dissoute après des dysfonctionnements constatés en 2021-2022)</w:t>
            </w:r>
          </w:p>
        </w:tc>
      </w:tr>
      <w:tr>
        <w:tc>
          <w:tcPr>
            <w:tcW w:type="dxa" w:w="2200"/>
          </w:tcPr>
          <w:p>
            <w:r>
              <w:rPr>
                <w:b/>
                <w:bCs/>
                <w:sz w:val="18"/>
                <w:szCs w:val="18"/>
              </w:rPr>
              <w:t xml:space="preserve">Médecin cantonal</w:t>
            </w:r>
          </w:p>
        </w:tc>
        <w:tc>
          <w:tcPr>
            <w:tcW w:type="dxa" w:w="3500"/>
          </w:tcPr>
          <w:p>
            <w:r>
              <w:rPr>
                <w:b w:val="false"/>
                <w:bCs w:val="false"/>
                <w:sz w:val="18"/>
                <w:szCs w:val="18"/>
              </w:rPr>
              <w:t xml:space="preserve">Service du médecin cantonal (SMC), Office cantonal de la santé (OCS)</w:t>
            </w:r>
          </w:p>
        </w:tc>
        <w:tc>
          <w:tcPr>
            <w:tcW w:type="dxa" w:w="3500"/>
          </w:tcPr>
          <w:p>
            <w:r>
              <w:rPr>
                <w:b w:val="false"/>
                <w:bCs w:val="false"/>
                <w:sz w:val="18"/>
                <w:szCs w:val="18"/>
              </w:rPr>
              <w:t xml:space="preserve">Office du médecin cantonal, Direction générale de la santé (DGS)</w:t>
            </w:r>
          </w:p>
        </w:tc>
      </w:tr>
      <w:tr>
        <w:tc>
          <w:tcPr>
            <w:tcW w:type="dxa" w:w="2200"/>
            <w:shd w:fill="F2F2F2" w:val="clear"/>
          </w:tcPr>
          <w:p>
            <w:r>
              <w:rPr>
                <w:b/>
                <w:bCs/>
                <w:sz w:val="18"/>
                <w:szCs w:val="18"/>
              </w:rPr>
              <w:t xml:space="preserve">Pharmacien(ne) cantonal(e)</w:t>
            </w:r>
          </w:p>
        </w:tc>
        <w:tc>
          <w:tcPr>
            <w:tcW w:type="dxa" w:w="3500"/>
            <w:shd w:fill="F2F2F2" w:val="clear"/>
          </w:tcPr>
          <w:p>
            <w:r>
              <w:rPr>
                <w:b w:val="false"/>
                <w:bCs w:val="false"/>
                <w:sz w:val="18"/>
                <w:szCs w:val="18"/>
              </w:rPr>
              <w:t xml:space="preserve">Service de la pharmacienne cantonale (SPhC), incluant le secteur des produits chimiques (Pre Nathalie Vernaz-Hegi)</w:t>
            </w:r>
          </w:p>
        </w:tc>
        <w:tc>
          <w:tcPr>
            <w:tcW w:type="dxa" w:w="3500"/>
            <w:shd w:fill="F2F2F2" w:val="clear"/>
          </w:tcPr>
          <w:p>
            <w:r>
              <w:rPr>
                <w:b w:val="false"/>
                <w:bCs w:val="false"/>
                <w:sz w:val="18"/>
                <w:szCs w:val="18"/>
              </w:rPr>
              <w:t xml:space="preserve">Pharmacienne cantonale, rattachée à l'Office du médecin cantonal</w:t>
            </w:r>
          </w:p>
        </w:tc>
      </w:tr>
      <w:tr>
        <w:tc>
          <w:tcPr>
            <w:tcW w:type="dxa" w:w="2200"/>
          </w:tcPr>
          <w:p>
            <w:r>
              <w:rPr>
                <w:b/>
                <w:bCs/>
                <w:sz w:val="18"/>
                <w:szCs w:val="18"/>
              </w:rPr>
              <w:t xml:space="preserve">Qualité de l'air</w:t>
            </w:r>
          </w:p>
        </w:tc>
        <w:tc>
          <w:tcPr>
            <w:tcW w:type="dxa" w:w="3500"/>
          </w:tcPr>
          <w:p>
            <w:r>
              <w:rPr>
                <w:b w:val="false"/>
                <w:bCs w:val="false"/>
                <w:sz w:val="18"/>
                <w:szCs w:val="18"/>
              </w:rPr>
              <w:t xml:space="preserve">OCEV - SABRA (Service de l'air, du bruit et des rayonnements non ionisants), réseau ROPAG (4 stations fixes depuis 1973 : Necker, Meyrin, Foron, Passeiry)</w:t>
            </w:r>
          </w:p>
        </w:tc>
        <w:tc>
          <w:tcPr>
            <w:tcW w:type="dxa" w:w="3500"/>
          </w:tcPr>
          <w:p>
            <w:r>
              <w:rPr>
                <w:b w:val="false"/>
                <w:bCs w:val="false"/>
                <w:sz w:val="18"/>
                <w:szCs w:val="18"/>
              </w:rPr>
              <w:t xml:space="preserve">DGE (Direction générale de l'environnement), réseau Vaud'Air (7 stations), complété par le réseau national NABEL</w:t>
            </w:r>
          </w:p>
        </w:tc>
      </w:tr>
      <w:tr>
        <w:tc>
          <w:tcPr>
            <w:tcW w:type="dxa" w:w="2200"/>
            <w:shd w:fill="F2F2F2" w:val="clear"/>
          </w:tcPr>
          <w:p>
            <w:r>
              <w:rPr>
                <w:b/>
                <w:bCs/>
                <w:sz w:val="18"/>
                <w:szCs w:val="18"/>
              </w:rPr>
              <w:t xml:space="preserve">Statistique cantonale</w:t>
            </w:r>
          </w:p>
        </w:tc>
        <w:tc>
          <w:tcPr>
            <w:tcW w:type="dxa" w:w="3500"/>
            <w:shd w:fill="F2F2F2" w:val="clear"/>
          </w:tcPr>
          <w:p>
            <w:r>
              <w:rPr>
                <w:b w:val="false"/>
                <w:bCs w:val="false"/>
                <w:sz w:val="18"/>
                <w:szCs w:val="18"/>
              </w:rPr>
              <w:t xml:space="preserve">OCSTAT (Office cantonal de la statistique)</w:t>
            </w:r>
          </w:p>
        </w:tc>
        <w:tc>
          <w:tcPr>
            <w:tcW w:type="dxa" w:w="3500"/>
            <w:shd w:fill="F2F2F2" w:val="clear"/>
          </w:tcPr>
          <w:p>
            <w:r>
              <w:rPr>
                <w:b w:val="false"/>
                <w:bCs w:val="false"/>
                <w:sz w:val="18"/>
                <w:szCs w:val="18"/>
              </w:rPr>
              <w:t xml:space="preserve">Statistique Vaud (StatVD), Département des finances et du patrimoine</w:t>
            </w:r>
          </w:p>
        </w:tc>
      </w:tr>
    </w:tbl>
    <w:p>
      <w:pPr>
        <w:pStyle w:val="Heading1"/>
        <w:spacing w:after="160" w:before="320"/>
      </w:pPr>
      <w:r>
        <w:t xml:space="preserve">4. Sources de surveillance syndromique et médicale</w:t>
      </w:r>
    </w:p>
    <w:p>
      <w:pPr>
        <w:pStyle w:val="Heading2"/>
        <w:spacing w:after="120" w:before="260"/>
      </w:pPr>
      <w:r>
        <w:t xml:space="preserve">4.1 Appels aux centrales sanitaires 144</w:t>
      </w:r>
    </w:p>
    <w:p>
      <w:pPr>
        <w:spacing w:after="160" w:line="276"/>
      </w:pPr>
      <w:r>
        <w:t xml:space="preserve">Les données d'appels aux centrales 144 ont déjà été utilisées dans des modèles de prévision de la demande ambulancière et de la capacité hospitalière (15, 16). Les enregistrements contiennent la date et l'heure de l'appel, l'âge et le sexe du patient, le type d'intervention, le type d'unité engagée, le motif de l'appel, les antécédents médicaux, le niveau d'urgence (échelle EST) et l'établissement de destination.</w:t>
      </w:r>
    </w:p>
    <w:p>
      <w:pPr>
        <w:spacing w:after="160" w:line="276"/>
      </w:pPr>
      <w:r>
        <w:t xml:space="preserve">Les symptômes mentionnés dans le motif de l'appel (fièvre, toux, mal de gorge, congestion, fatigue, perte de goût ou d'odorat, dyspnée, nausées, diarrhée) peuvent servir d'indicateur d'incidence pour les maladies respiratoires, à condition de garder à l'esprit qu'ils ne sont pas spécifiques au COVID-19 et peuvent correspondre à d'autres infections comme la grippe (17, 18, 19, 20).</w:t>
      </w:r>
    </w:p>
    <w:p>
      <w:pPr>
        <w:spacing w:after="160" w:line="276"/>
      </w:pPr>
      <w:r>
        <w:t xml:space="preserve">À Genève, la CASU-144 est opérée par les </w:t>
      </w:r>
      <w:hyperlink w:history="1" r:id="rIdjghr3taukeu7awro-mltb">
        <w:r>
          <w:rPr>
            <w:rStyle w:val="Hyperlink"/>
          </w:rPr>
          <w:t xml:space="preserve">HUG</w:t>
        </w:r>
      </w:hyperlink>
      <w:r>
        <w:t xml:space="preserve"> (38), qui traitent plus de 165'000 appels annuels dont environ 71'000 appels d'urgence. À Vaud, la centrale 144 a été rattachée au </w:t>
      </w:r>
      <w:hyperlink w:history="1" r:id="rIdskcbn31q-flejoi6u67qu">
        <w:r>
          <w:rPr>
            <w:rStyle w:val="Hyperlink"/>
          </w:rPr>
          <w:t xml:space="preserve">CHUV en 2023</w:t>
        </w:r>
      </w:hyperlink>
      <w:r>
        <w:t xml:space="preserve"> (39), après la dissolution de la Fondation Urgences Santé (FUS), qui gérait auparavant conjointement le 144 pour Vaud et Neuchâtel et avait fait l'objet de critiques pour des dysfonctionnements organisationnels en 2021-2022. Les deux cantons disposent ainsi d'un interlocuteur institutionnel unique et identifié (HUG pour Genève, CHUV pour Vaud), ce qui simplifie une démarche d'accès aux données par rapport à une situation à plusieurs opérateurs.</w:t>
      </w:r>
    </w:p>
    <w:p>
      <w:pPr>
        <w:spacing w:after="160" w:line="276"/>
      </w:pPr>
      <w:r>
        <w:t xml:space="preserve">Limites connues : nécessité de nettoyage, données manquantes non nécessairement aléatoires, texte libre difficile à classifier, absence de confirmation diagnostique (sauf appariement avec les dossiers hospitaliers via un identifiant unique), et biais de sélection puisque seules les personnes appelant les urgences sont représentées. Ces données sont donc probablement plus adaptées à la prédiction de la demande ambulancière qu'à l'incidence globale de la maladie.</w:t>
      </w:r>
    </w:p>
    <w:p>
      <w:pPr>
        <w:pStyle w:val="Heading2"/>
        <w:spacing w:after="120" w:before="260"/>
      </w:pPr>
      <w:r>
        <w:t xml:space="preserve">4.2 Déclaration obligatoire (OFSP)</w:t>
      </w:r>
    </w:p>
    <w:p>
      <w:pPr>
        <w:spacing w:after="160" w:line="276"/>
      </w:pPr>
      <w:r>
        <w:t xml:space="preserve">Le système suisse de déclaration obligatoire des maladies transmissibles, régi par la loi sur les épidémies (LEp), fournit des cas confirmés en laboratoire pour le COVID-19, la grippe et d'autres maladies respiratoires à déclaration obligatoire. Contrairement aux 144, il s'agit de cas confirmés et non de symptômes rapportés, ce qui en fait une source complémentaire utile pour corriger le biais de spécificité des appels d'urgence.</w:t>
      </w:r>
    </w:p>
    <w:p>
      <w:pPr>
        <w:spacing w:after="160" w:line="276"/>
      </w:pPr>
      <w:r>
        <w:t xml:space="preserve">Disponibilité : dashboard public de l'OFSP mis à jour en continu, avec granularité cantonale pour la plupart des maladies. Sur le plan opérationnel, les déclarations cliniques et de laboratoire transitent d'abord par le service du médecin cantonal du canton concerné (à Genève : le SMC ; à Vaud : l'Office du médecin cantonal) avant remontée à l'OFSP ; c'est donc ce service cantonal, et non l'OFSP directement, qui est l'interlocuteur pertinent pour toute demande de données plus fines ou plus rapides que le dashboard public.</w:t>
      </w:r>
    </w:p>
    <w:p>
      <w:pPr>
        <w:pStyle w:val="Heading2"/>
        <w:spacing w:after="120" w:before="260"/>
      </w:pPr>
      <w:r>
        <w:t xml:space="preserve">4.3 Légionellose et infections respiratoires à source environnementale (priorité 3)</w:t>
      </w:r>
    </w:p>
    <w:p>
      <w:pPr>
        <w:spacing w:after="160" w:line="276"/>
      </w:pPr>
      <w:r>
        <w:t xml:space="preserve">Conformément à la hiérarchie définie au chapitre 1, la légionellose relève de la priorité 3. Les données existent et circulent par le même canal que les autres maladies à déclaration obligatoire : déclaration au service du médecin cantonal dans les 24 heures (laboratoires et cliniciens), obligatoire en Suisse depuis 1998 </w:t>
      </w:r>
      <w:hyperlink w:history="1" r:id="rIdsy1y3psbbgtahyljujjtw">
        <w:r>
          <w:rPr>
            <w:rStyle w:val="Hyperlink"/>
          </w:rPr>
          <w:t xml:space="preserve">(ge.ch)</w:t>
        </w:r>
      </w:hyperlink>
      <w:r>
        <w:t xml:space="preserve"> (40). Le volume est cependant faible au regard des besoins d'un modèle de demande hospitalière : 574 cas déclarés dans toute la Suisse en 2023 (incidence nationale d'environ 5,5 cas pour 100'000 habitants), soit quelques dizaines de cas par an et par canton.</w:t>
      </w:r>
    </w:p>
    <w:p>
      <w:pPr>
        <w:spacing w:after="160" w:line="276"/>
      </w:pPr>
      <w:r>
        <w:t xml:space="preserve">Son intérêt pour GESICA est donc prospectif : lorsque le système sera étendu à la classe de SSE "flambée à source commune", les séries de déclaration de la légionellose constitueront un cas d'application naturel pour tester la détection de clusters localisés, avec des modèles d'exposition et de risque spatial distincts du SEIR. Dans l'inventaire actuel, cette source est conservée avec ce statut de priorité 3, sans développement méthodologique supplémentaire.</w:t>
      </w:r>
    </w:p>
    <w:p>
      <w:pPr>
        <w:pStyle w:val="Heading2"/>
        <w:spacing w:after="120" w:before="260"/>
      </w:pPr>
      <w:r>
        <w:t xml:space="preserve">4.4 Système Sentinella</w:t>
      </w:r>
    </w:p>
    <w:p>
      <w:pPr>
        <w:spacing w:after="160" w:line="276"/>
      </w:pPr>
      <w:r>
        <w:t xml:space="preserve">Le système Sentinella existe depuis 1986 et repose sur environ 150 à 250 médecins de premier recours répartis sur toute la Suisse, déclarant chaque semaine des données de morbidité à l'OFSP </w:t>
      </w:r>
      <w:hyperlink w:history="1" r:id="rIdk_pothmy4fzmk7pkubfvm">
        <w:r>
          <w:rPr>
            <w:rStyle w:val="Hyperlink"/>
          </w:rPr>
          <w:t xml:space="preserve">(bag.admin.ch)</w:t>
        </w:r>
      </w:hyperlink>
      <w:r>
        <w:t xml:space="preserve"> (27). Depuis la semaine 40 de 2020, la surveillance Sentinella couvre spécifiquement le SARS-CoV-2, la grippe et le VRS, avec production de bulletins hebdomadaires et d'un tableau de bord.</w:t>
      </w:r>
    </w:p>
    <w:p>
      <w:pPr>
        <w:spacing w:after="160" w:line="276"/>
      </w:pPr>
      <w:r>
        <w:t xml:space="preserve">Limite pour ce projet : la couverture est nationale ou par grande région (Suisse romande), pas cantonale fine ; elle ne permet donc pas de distinguer Genève de Vaud dans les séries publiées.</w:t>
      </w:r>
    </w:p>
    <w:p>
      <w:pPr>
        <w:pStyle w:val="Heading2"/>
        <w:spacing w:after="120" w:before="260"/>
      </w:pPr>
      <w:r>
        <w:t xml:space="preserve">4.5 Statistique médicale des hôpitaux (OFS) et relevé SpiGes</w:t>
      </w:r>
    </w:p>
    <w:p>
      <w:pPr>
        <w:spacing w:after="160" w:line="276"/>
      </w:pPr>
      <w:r>
        <w:t xml:space="preserve">L'Office fédéral de la statistique recense chaque année, pour l'ensemble des hôpitaux et cliniques de Suisse, les données socio-démographiques, administratives et médicales (diagnostics CIM-10-GM, traitements CHOP) de chaque hospitalisation </w:t>
      </w:r>
      <w:hyperlink w:history="1" r:id="rIdflspmelcni3-gkxyighcy">
        <w:r>
          <w:rPr>
            <w:rStyle w:val="Hyperlink"/>
          </w:rPr>
          <w:t xml:space="preserve">(bfs.admin.ch)</w:t>
        </w:r>
      </w:hyperlink>
      <w:r>
        <w:t xml:space="preserve"> (28). Ce relevé est en cours de remplacement par le projet SpiGes, dont le premier relevé porte sur les données 2024 </w:t>
      </w:r>
      <w:hyperlink w:history="1" r:id="rIdvwkqua022bu3cl-x-erdj">
        <w:r>
          <w:rPr>
            <w:rStyle w:val="Hyperlink"/>
          </w:rPr>
          <w:t xml:space="preserve">(swissdrg.org)</w:t>
        </w:r>
      </w:hyperlink>
      <w:r>
        <w:t xml:space="preserve"> (29).</w:t>
      </w:r>
    </w:p>
    <w:p>
      <w:pPr>
        <w:spacing w:after="160" w:line="276"/>
      </w:pPr>
      <w:r>
        <w:t xml:space="preserve">Pour Genève et Vaud, cette statistique agrège les données transmises respectivement par les HUG et le CHUV (ainsi que par les cliniques privées des deux cantons). Une collaboration directe avec l'un ou l'autre de ces établissements, plutôt qu'une demande unique à l'OFS, permettrait d'obtenir des données plus fines (niveau service, fréquence supérieure à l'annuelle) que le relevé fédéral agrégé, dont la latence de publication est généralement supérieure à un an. Cette source reste néanmoins précieuse pour la calibration historique du modèle, la statistique fédérale offrant un historique et une méthodologie stables sur longue période.</w:t>
      </w:r>
    </w:p>
    <w:p>
      <w:pPr>
        <w:pStyle w:val="Heading2"/>
        <w:spacing w:after="120" w:before="260"/>
      </w:pPr>
      <w:r>
        <w:t xml:space="preserve">4.6 Chiffres-clés des hôpitaux suisses</w:t>
      </w:r>
    </w:p>
    <w:p>
      <w:pPr>
        <w:spacing w:after="160" w:line="276"/>
      </w:pPr>
      <w:r>
        <w:t xml:space="preserve">Publiés annuellement par l'OFSP sur la base des données de l'OFS, en open data sur opendata.swiss </w:t>
      </w:r>
      <w:hyperlink w:history="1" r:id="rIda7wtdcmp-eue0kxtirjka">
        <w:r>
          <w:rPr>
            <w:rStyle w:val="Hyperlink"/>
          </w:rPr>
          <w:t xml:space="preserve">(opendata.swiss)</w:t>
        </w:r>
      </w:hyperlink>
      <w:r>
        <w:t xml:space="preserve"> (30), ces chiffres donnent la structure, l'offre en soins et la capacité (lits, personnel) par établissement hospitalier, dont les HUG et le CHUV, utile pour contextualiser la capacité disponible face à la demande prédite par le modèle.</w:t>
      </w:r>
    </w:p>
    <w:p>
      <w:pPr>
        <w:pStyle w:val="Heading1"/>
        <w:spacing w:after="160" w:before="320"/>
      </w:pPr>
      <w:r>
        <w:t xml:space="preserve">5. Surveillance environnementale et eaux usées</w:t>
      </w:r>
    </w:p>
    <w:p>
      <w:pPr>
        <w:pStyle w:val="Heading2"/>
        <w:spacing w:after="120" w:before="260"/>
      </w:pPr>
      <w:r>
        <w:t xml:space="preserve">5.1 Eaux usées</w:t>
      </w:r>
    </w:p>
    <w:p>
      <w:pPr>
        <w:spacing w:after="160" w:line="276"/>
      </w:pPr>
      <w:r>
        <w:t xml:space="preserve">La surveillance nationale des eaux usées, pilotée par l'Eawag pour le compte de l'OFSP, détecte le SARS-CoV-2, la grippe et le VRS </w:t>
      </w:r>
      <w:hyperlink w:history="1" r:id="rIdkfjo5kzpd-cr1ibm807t8">
        <w:r>
          <w:rPr>
            <w:rStyle w:val="Hyperlink"/>
          </w:rPr>
          <w:t xml:space="preserve">(bag.admin.ch)</w:t>
        </w:r>
      </w:hyperlink>
      <w:r>
        <w:t xml:space="preserve"> (33). Initiée à l'été 2020 sur plus de 100 stations d'épuration, elle a été progressivement recentrée : environ 100 stations en 2022, 50 en janvier 2023, puis 10 stations depuis l'été 2023, l'Eawag réalisant désormais l'ensemble des analyses en interne et étant devenu, début 2026, centre national de référence pour cette surveillance </w:t>
      </w:r>
      <w:hyperlink w:history="1" r:id="rIdbywurmum9pqcipq3ak8xw">
        <w:r>
          <w:rPr>
            <w:rStyle w:val="Hyperlink"/>
          </w:rPr>
          <w:t xml:space="preserve">(eawag.ch)</w:t>
        </w:r>
      </w:hyperlink>
      <w:r>
        <w:t xml:space="preserve"> (34). Ces dix stations couvrent environ deux millions de personnes, soit 20% de la population suisse, réparties "de Genève à Saint-Gall et de Lugano à Bâle" : </w:t>
      </w:r>
      <w:r>
        <w:rPr>
          <w:b/>
          <w:bCs/>
        </w:rPr>
        <w:t xml:space="preserve">Genève figure donc explicitement parmi les dix stations actuellement suivies</w:t>
      </w:r>
      <w:r>
        <w:t xml:space="preserve"> (34).</w:t>
      </w:r>
    </w:p>
    <w:p>
      <w:pPr>
        <w:spacing w:after="160" w:line="276"/>
      </w:pPr>
      <w:r>
        <w:t xml:space="preserve">Le statut de Lausanne (STEP de Vidy) est en revanche moins certain : elle faisait partie des six stations du projet pilote initial "AbwasSARS-CoV-2" lancé en février 2021 (aux côtés de Zurich, Laupen/BE, Altenrhein, Coire et Lugano) </w:t>
      </w:r>
      <w:hyperlink w:history="1" r:id="rIdk0hvjvflyq5hj1zr6ptq2">
        <w:r>
          <w:rPr>
            <w:rStyle w:val="Hyperlink"/>
          </w:rPr>
          <w:t xml:space="preserve">(eawag.ch)</w:t>
        </w:r>
      </w:hyperlink>
      <w:r>
        <w:t xml:space="preserve"> (35), mais elle n'est pas nommément citée parmi les dix stations du programme actuel (2023-2026), qui semble davantage centré sur Genève, Bâle, Coire, Lugano et Saint-Gall pour la partie occidentale et méridionale du pays. Ce point mérite une vérification directe auprès de l'Eawag ou de l'OFSP avant de bâtir le modèle sur cette source pour le canton de Vaud : à ce stade, seule la couverture genevoise peut être considérée comme confirmée.</w:t>
      </w:r>
    </w:p>
    <w:p>
      <w:pPr>
        <w:spacing w:after="160" w:line="276"/>
      </w:pPr>
      <w:r>
        <w:t xml:space="preserve">Les eaux usées combinent charge virale et marqueurs pharmaceutiques (ex. dextrométhorphane, phéniramine, clarithromycine), corrélés aux virus respiratoires circulants, avec un potentiel de détection précoce malgré un délai entre infection et signal détectable (36).</w:t>
      </w:r>
    </w:p>
    <w:p>
      <w:pPr>
        <w:spacing w:after="160" w:line="276"/>
      </w:pPr>
      <w:r>
        <w:t xml:space="preserve">Accès : les données du mandat OFSP-Eawag ne sont pas nécessairement toutes publiques en temps réel ; une demande spécifique auprès de l'OFSP ou de l'Eawag est probablement nécessaire pour un usage de recherche à l'échelle souhaitée par GESICA. À Genève, le laboratoire cantonal est rattaché au service de la pharmacienne cantonale (secteur des produits chimiques) et peut constituer un relais local utile pour toute question de qualité et de traçabilité des prélèvements, même si le pilotage de la surveillance des pathogènes respiratoires reste national (Eawag).</w:t>
      </w:r>
    </w:p>
    <w:p>
      <w:pPr>
        <w:pStyle w:val="Heading2"/>
        <w:spacing w:after="120" w:before="260"/>
      </w:pPr>
      <w:r>
        <w:t xml:space="preserve">5.2 Qualité de l'air</w:t>
      </w:r>
    </w:p>
    <w:p>
      <w:pPr>
        <w:spacing w:after="160" w:line="276"/>
      </w:pPr>
      <w:r>
        <w:t xml:space="preserve">À Genève, la qualité de l'air est surveillée depuis 1973 par le réseau ROPAG (Réseau d'observation de la pollution atmosphérique à Genève), opéré par le service SABRA (Service de l'air, du bruit et des rayonnements non ionisants) de l'Office cantonal de l'environnement (OCEV). Il comprend 4 stations fixes (Necker, Meyrin, Foron, Passeiry), une station mobile, et un réseau de 73 capteurs passifs de NO2 </w:t>
      </w:r>
      <w:hyperlink w:history="1" r:id="rIdcuymyjqiuwsirm_v56yah">
        <w:r>
          <w:rPr>
            <w:rStyle w:val="Hyperlink"/>
          </w:rPr>
          <w:t xml:space="preserve">(ge.ch)</w:t>
        </w:r>
      </w:hyperlink>
      <w:r>
        <w:t xml:space="preserve"> (23). À Vaud, le réseau équivalent est Vaud'Air, opéré par la Direction générale de l'environnement (DGE), avec 7 stations fixes réparties sur des sites représentatifs et environ 140 sites de capteurs passifs de NO2 </w:t>
      </w:r>
      <w:hyperlink w:history="1" r:id="rId1xuekbszav636zkyjbnlj">
        <w:r>
          <w:rPr>
            <w:rStyle w:val="Hyperlink"/>
          </w:rPr>
          <w:t xml:space="preserve">(vd.ch)</w:t>
        </w:r>
      </w:hyperlink>
      <w:r>
        <w:t xml:space="preserve"> (41). Les deux réseaux sont complétés par les stations de référence du réseau national NABEL (OFEV). Les polluants pertinents (PM10, NO2, O3) sont associés dans la littérature aux visites aux urgences pour affections respiratoires (24).</w:t>
      </w:r>
    </w:p>
    <w:p>
      <w:pPr>
        <w:pStyle w:val="Heading2"/>
        <w:spacing w:after="120" w:before="260"/>
      </w:pPr>
      <w:r>
        <w:t xml:space="preserve">5.3 Température, humidité et rayonnement UV</w:t>
      </w:r>
    </w:p>
    <w:p>
      <w:pPr>
        <w:spacing w:after="160" w:line="276"/>
      </w:pPr>
      <w:r>
        <w:t xml:space="preserve">MeteoSwiss est la source de référence nationale. Son réseau de stations automatiques couvre Genève et Vaud, avec des résolutions temporelles de 10 minutes, horaire, journalière, mensuelle et annuelle, disponibles en open data </w:t>
      </w:r>
      <w:hyperlink w:history="1" r:id="rIdqkwabedqg006ttg-_atoq">
        <w:r>
          <w:rPr>
            <w:rStyle w:val="Hyperlink"/>
          </w:rPr>
          <w:t xml:space="preserve">(opendata.swiss)</w:t>
        </w:r>
      </w:hyperlink>
      <w:r>
        <w:t xml:space="preserve"> (31). Au-delà de la température déjà retenue, l'humidité relative, les précipitations et l'indice UV sont également disponibles et documentés comme facteurs influençant la survie et la transmission des virus respiratoires ; ils constituent un complément naturel et peu coûteux à ajouter au modèle.</w:t>
      </w:r>
    </w:p>
    <w:p>
      <w:pPr>
        <w:pStyle w:val="Heading1"/>
        <w:spacing w:after="160" w:before="320"/>
      </w:pPr>
      <w:r>
        <w:t xml:space="preserve">6. Démographie et contexte social</w:t>
      </w:r>
    </w:p>
    <w:p>
      <w:pPr>
        <w:pStyle w:val="Heading2"/>
        <w:spacing w:after="120" w:before="260"/>
      </w:pPr>
      <w:r>
        <w:t xml:space="preserve">6.1 Densité de population et structure d'âge</w:t>
      </w:r>
    </w:p>
    <w:p>
      <w:pPr>
        <w:spacing w:after="160" w:line="276"/>
      </w:pPr>
      <w:r>
        <w:t xml:space="preserve">La densité de population est un déterminant documenté de la vitesse de propagation épidémique (21). À Genève, l'Office cantonal de la statistique (OCSTAT) fournit ces données pour les 45 communes genevoises </w:t>
      </w:r>
      <w:hyperlink w:history="1" r:id="rId96t8jk3thixrusm2vpwvc">
        <w:r>
          <w:rPr>
            <w:rStyle w:val="Hyperlink"/>
          </w:rPr>
          <w:t xml:space="preserve">(statistique.ge.ch)</w:t>
        </w:r>
      </w:hyperlink>
      <w:r>
        <w:t xml:space="preserve"> (22). À Vaud, l'équivalent est Statistique Vaud (StatVD), rattaché au Département des finances et du patrimoine, qui publie chaque année un annuaire statistique couvrant les 300 communes vaudoises </w:t>
      </w:r>
      <w:hyperlink w:history="1" r:id="rIdokiil2ozdwghchyibnu9j">
        <w:r>
          <w:rPr>
            <w:rStyle w:val="Hyperlink"/>
          </w:rPr>
          <w:t xml:space="preserve">(vd.ch)</w:t>
        </w:r>
      </w:hyperlink>
      <w:r>
        <w:t xml:space="preserve"> (42) ; fin 2025, le canton comptait 864'200 habitants. Au niveau fédéral, l'Office fédéral de la statistique (statistique de la population résidante, STATPOP) publie les mêmes variables pour toutes les communes suisses avec une méthodologie harmonisée, ce qui permet de combiner directement les deux cantons dans un même modèle sans rupture méthodologique.</w:t>
      </w:r>
    </w:p>
    <w:p>
      <w:pPr>
        <w:pStyle w:val="Heading2"/>
        <w:spacing w:after="120" w:before="260"/>
      </w:pPr>
      <w:r>
        <w:t xml:space="preserve">6.2 Indice de position socioéconomique (Swiss-SEP)</w:t>
      </w:r>
    </w:p>
    <w:p>
      <w:pPr>
        <w:spacing w:after="160" w:line="276"/>
      </w:pPr>
      <w:r>
        <w:t xml:space="preserve">Le Swiss-SEP est un indice de position socioéconomique de quartier, développé pour la recherche épidémiologique en Suisse à partir du recensement 2000 et de données de connectivité du réseau routier (voisinages glissants de 50 ménages), et validé par son association avec la mortalité dans la Cohorte nationale suisse </w:t>
      </w:r>
      <w:hyperlink w:history="1" r:id="rIdhxmesihlw1at5rebm4mdk">
        <w:r>
          <w:rPr>
            <w:rStyle w:val="Hyperlink"/>
          </w:rPr>
          <w:t xml:space="preserve">(PubMed)</w:t>
        </w:r>
      </w:hyperlink>
      <w:r>
        <w:t xml:space="preserve"> (32). C'est une variable pertinente pour le volet social du modèle : la défavorisation sociale module le risque de transmission (surpeuplement du logement, densité de contacts) et l'accès aux soins, aussi bien à Genève qu'à Vaud. L'accès se fait via une collaboration de recherche avec la Cohorte nationale suisse (Swiss National Cohort), et non en libre téléchargement.</w:t>
      </w:r>
    </w:p>
    <w:p>
      <w:pPr>
        <w:pStyle w:val="Heading1"/>
        <w:spacing w:after="160" w:before="320"/>
      </w:pPr>
      <w:r>
        <w:t xml:space="preserve">7. Comportement, calendrier et recherche en ligne</w:t>
      </w:r>
    </w:p>
    <w:p>
      <w:pPr>
        <w:pStyle w:val="Heading2"/>
        <w:spacing w:after="120" w:before="260"/>
      </w:pPr>
      <w:r>
        <w:t xml:space="preserve">7.1 Calendrier scolaire</w:t>
      </w:r>
    </w:p>
    <w:p>
      <w:pPr>
        <w:spacing w:after="160" w:line="276"/>
      </w:pPr>
      <w:r>
        <w:t xml:space="preserve">Les vacances scolaires favorisent une baisse de la transmission de la grippe en réduisant les contacts entre enfants d'âge scolaire (25). L'école étant de compétence cantonale, Genève et Vaud fixent chacun leur propre calendrier ; la CIIP (Conférence intercantonale de l'instruction publique de la Suisse romande et du Tessin) coordonne les grandes périodes de vacances entre cantons romands, mais un décalage résiduel subsiste </w:t>
      </w:r>
      <w:hyperlink w:history="1" r:id="rIdon2qv_f1qke04mmw7y5gy">
        <w:r>
          <w:rPr>
            <w:rStyle w:val="Hyperlink"/>
          </w:rPr>
          <w:t xml:space="preserve">(portail.ciip.ch)</w:t>
        </w:r>
      </w:hyperlink>
      <w:r>
        <w:t xml:space="preserve"> (37). Par exemple, pour la rentrée d'août 2026, Vaud et Genève rentrent le même jour (17 août), mais les vacances d'automne ne coïncident pas nécessairement à quelques jours près. Pour le modèle, il faut donc utiliser le calendrier propre à chaque canton plutôt qu'un calendrier romand unique.</w:t>
      </w:r>
    </w:p>
    <w:p>
      <w:pPr>
        <w:pStyle w:val="Heading2"/>
        <w:spacing w:after="120" w:before="260"/>
      </w:pPr>
      <w:r>
        <w:t xml:space="preserve">7.2 Google Trends</w:t>
      </w:r>
    </w:p>
    <w:p>
      <w:pPr>
        <w:spacing w:after="160" w:line="276"/>
      </w:pPr>
      <w:r>
        <w:t xml:space="preserve">La popularité de mots-clés associés aux symptômes respiratoires est disponible depuis le 1er janvier 2004, avec une granularité journalière et une possibilité de filtrage géographique (Suisse, canton de Genève, canton de Vaud). Limite connue : Google ne fournit pas de score lorsque le volume de recherches est insuffisant pour un mot-clé et une région donnés : un risque réel à l'échelle d'un seul canton plutôt qu'au niveau national.</w:t>
      </w:r>
    </w:p>
    <w:p>
      <w:pPr>
        <w:pStyle w:val="Heading2"/>
        <w:spacing w:after="120" w:before="260"/>
      </w:pPr>
      <w:r>
        <w:t xml:space="preserve">7.3 Réseaux sociaux (Twitter / X)</w:t>
      </w:r>
    </w:p>
    <w:p>
      <w:pPr>
        <w:spacing w:after="160" w:line="276"/>
      </w:pPr>
      <w:r>
        <w:t xml:space="preserve">Les tweets associés à des mots-clés symptomatiques peuvent servir d'indicateur de circulation virale, avec une granularité fine (heure exacte, pays) mais un accès désormais restreint et payant à l'API, ainsi qu'un important travail de filtrage (langue et, si possible, géolocalisation pour distinguer Genève de Vaud) et de classification du texte libre.</w:t>
      </w:r>
    </w:p>
    <w:p>
      <w:pPr>
        <w:pStyle w:val="Heading1"/>
        <w:spacing w:after="160" w:before="320"/>
      </w:pPr>
      <w:r>
        <w:t xml:space="preserve">8. Prévention et couverture vaccinale</w:t>
      </w:r>
    </w:p>
    <w:p>
      <w:pPr>
        <w:spacing w:after="160" w:line="276"/>
      </w:pPr>
      <w:r>
        <w:t xml:space="preserve">La couverture vaccinale contre la grippe et le COVID-19, publiée périodiquement par l'OFSP, module directement la susceptibilité de la population et devrait être intégrée comme covariable dynamique du modèle, en particulier lorsqu'un compartiment de vaccination est ajouté au SEIR de base (modèle SVEIR). Sa granularité est généralement nationale ou par grande région, rarement cantonale fine, ce qui en limite la résolution pour distinguer Genève de Vaud.</w:t>
      </w:r>
    </w:p>
    <w:p>
      <w:pPr>
        <w:pStyle w:val="Heading1"/>
        <w:spacing w:after="160" w:before="320"/>
      </w:pPr>
      <w:r>
        <w:t xml:space="preserve">9. Pistes supplémentaires à explorer</w:t>
      </w:r>
    </w:p>
    <w:p>
      <w:pPr>
        <w:pStyle w:val="ListParagraph"/>
        <w:numPr>
          <w:ilvl w:val="0"/>
          <w:numId w:val="1"/>
        </w:numPr>
        <w:spacing w:after="80" w:line="276"/>
      </w:pPr>
      <w:r>
        <w:t xml:space="preserve">Ventes de médicaments en vente libre (antitussifs, antipyrétiques) dans les pharmacies genevoises et vaudoises : un indicateur a montré une capacité de prédiction des pics d'hospitalisation respiratoire 1 à 3 semaines à l'avance (43). Aucune source publique identifiée à ce stade. Le service de la pharmacienne cantonale (Genève) ou la pharmacienne cantonale rattachée à l'Office du médecin cantonal (Vaud) n'est pas détenteur des données de vente elles-mêmes, mais est l'autorité de surveillance des pharmacies et du circuit du médicament : un interlocuteur institutionnel légitime pour appuyer une demande auprès des réseaux de pharmacies ou de fournisseurs de données de vente (type IQVIA).</w:t>
      </w:r>
    </w:p>
    <w:p>
      <w:pPr>
        <w:pStyle w:val="ListParagraph"/>
        <w:numPr>
          <w:ilvl w:val="0"/>
          <w:numId w:val="1"/>
        </w:numPr>
        <w:spacing w:after="80" w:line="276"/>
      </w:pPr>
      <w:r>
        <w:t xml:space="preserve">Absentéisme scolaire réel (et non seulement le calendrier des vacances), à demander directement aux directions d'établissements ou au département genevois de l'instruction publique (DIP) et à la Direction générale de l'enseignement obligatoire vaudoise (DGEO).</w:t>
      </w:r>
    </w:p>
    <w:p>
      <w:pPr>
        <w:pStyle w:val="ListParagraph"/>
        <w:numPr>
          <w:ilvl w:val="0"/>
          <w:numId w:val="1"/>
        </w:numPr>
        <w:spacing w:after="80" w:line="276"/>
      </w:pPr>
      <w:r>
        <w:t xml:space="preserve">Mobilité et fréquentation des transports publics : TPG (Transports publics genevois) et TL (transports publics de la région lausannoise), ainsi que les CFF pour les flux intercantonaux Genève-Lausanne, utiles pour approcher une matrice de contact ou de mobilité entre les deux cantons.</w:t>
      </w:r>
    </w:p>
    <w:p>
      <w:pPr>
        <w:pStyle w:val="ListParagraph"/>
        <w:numPr>
          <w:ilvl w:val="0"/>
          <w:numId w:val="1"/>
        </w:numPr>
        <w:spacing w:after="80" w:line="276"/>
      </w:pPr>
      <w:r>
        <w:t xml:space="preserve">Prévalence des comorbidités et populations à risque (affections respiratoires chroniques, EMS), qui module la sévérité et donc la demande hospitalière, disponible potentiellement via l'OFS ou les services cantonaux de santé publique de Genève et Vaud.</w:t>
      </w:r>
    </w:p>
    <w:p>
      <w:pPr>
        <w:pStyle w:val="ListParagraph"/>
        <w:numPr>
          <w:ilvl w:val="0"/>
          <w:numId w:val="1"/>
        </w:numPr>
        <w:spacing w:after="80" w:line="276"/>
      </w:pPr>
      <w:r>
        <w:t xml:space="preserve">Trafic vers les sites d'information santé (hug.ch, chuv.ch) en complément de Google Trends, pour capter un signal comportemental supplémentaire propre à chaque canton.</w:t>
      </w:r>
    </w:p>
    <w:p>
      <w:pPr>
        <w:pStyle w:val="Heading1"/>
        <w:spacing w:after="160" w:before="320"/>
      </w:pPr>
      <w:r>
        <w:t xml:space="preserve">10. Matrice maladies x sources</w:t>
      </w:r>
    </w:p>
    <w:p>
      <w:pPr>
        <w:spacing w:after="160" w:line="276"/>
      </w:pPr>
      <w:r>
        <w:t xml:space="preserve">La feuille Matrice_maladies_sources du fichier Excel croise les vingt maladies du périmètre avec les 23 sources de l'inventaire (D01 à D22). Elle rend visibles trois structures qui fondent la planification du projet. Premièrement, la colonne D04/D04b (déclaration obligatoire) est presque pleine : le canal du médecin cantonal est le seul qui couvre la quasi-totalité du périmètre, ce qui en fait la démarche d'accès prioritaire. Deuxièmement, les trois lignes de la priorité 1 (COVID-19, grippe, VRS) concentrent la quasi-totalité des sources à haute fréquence : ce sont les seules maladies pour lesquelles un système de détection précoce multicanal (144, Sentinella, eaux usées, recherches web, ventes OTC) est réellement constructible aujourd'hui, ce qui justifie d'y concentrer le développement et la validation du système. Troisièmement, les maladies des priorités 2 à 5 n'ont besoin que d'un sous-ensemble restreint de sources : leur intégration ultérieure est peu coûteuse en données une fois le canal de déclaration obligatoire établi, dans l'ordre de la hiérarchie du chapitre 1.</w:t>
      </w:r>
    </w:p>
    <w:p>
      <w:pPr>
        <w:pStyle w:val="Heading1"/>
        <w:spacing w:after="160" w:before="320"/>
      </w:pPr>
      <w:r>
        <w:t xml:space="preserve">11. Paramètres structurels pour la construction du modèle SEIR</w:t>
      </w:r>
    </w:p>
    <w:p>
      <w:pPr>
        <w:spacing w:after="160" w:line="276"/>
      </w:pPr>
      <w:r>
        <w:t xml:space="preserve">Au-delà des covariables listées ci-dessus, un modèle SEIR nécessite des paramètres structurels qui ne sont pas de simples séries temporelles à collecter mais des données ou hypothèses à documenter explicitement :</w:t>
      </w:r>
    </w:p>
    <w:p>
      <w:pPr>
        <w:pStyle w:val="ListParagraph"/>
        <w:numPr>
          <w:ilvl w:val="0"/>
          <w:numId w:val="1"/>
        </w:numPr>
        <w:spacing w:after="80" w:line="276"/>
      </w:pPr>
      <w:r>
        <w:t xml:space="preserve">Effectifs de population par classe d'âge et par commune, pour initialiser les compartiments S, E, I, R (extension directe de la structure d'âge déjà identifiée, via l'OCSTAT à Genève et Statistique Vaud à Vaud, avec une méthodologie harmonisée par l'OFS).</w:t>
      </w:r>
    </w:p>
    <w:p>
      <w:pPr>
        <w:pStyle w:val="ListParagraph"/>
        <w:numPr>
          <w:ilvl w:val="0"/>
          <w:numId w:val="1"/>
        </w:numPr>
        <w:spacing w:after="80" w:line="276"/>
      </w:pPr>
      <w:r>
        <w:t xml:space="preserve">Matrices de contact par âge (type POLYMOD ou études suisses équivalentes), nécessaires pour paramétrer le taux de transmission β de façon réaliste plutôt qu'en mélange homogène ; à rechercher dans la littérature ou à défaut à approcher via des enquêtes de mobilité/contact existantes pour l'arc lémanique.</w:t>
      </w:r>
    </w:p>
    <w:p>
      <w:pPr>
        <w:pStyle w:val="ListParagraph"/>
        <w:numPr>
          <w:ilvl w:val="0"/>
          <w:numId w:val="1"/>
        </w:numPr>
        <w:spacing w:after="80" w:line="276"/>
      </w:pPr>
      <w:r>
        <w:t xml:space="preserve">Séroprévalence ou immunité antérieure, pour estimer l'état initial du compartiment R ; l'étude nationale Corona Immunitas a mené des enquêtes de séroprévalence dans plusieurs cantons suisses, dont Genève et Vaud, et pourrait servir de base historique de calibration (dates et effectifs exacts par canton à vérifier auprès du consortium).</w:t>
      </w:r>
    </w:p>
    <w:p>
      <w:pPr>
        <w:pStyle w:val="ListParagraph"/>
        <w:numPr>
          <w:ilvl w:val="0"/>
          <w:numId w:val="1"/>
        </w:numPr>
        <w:spacing w:after="80" w:line="276"/>
      </w:pPr>
      <w:r>
        <w:t xml:space="preserve">Paramètres épidémiologiques (durée d'incubation, période infectieuse, intervalle de génération) : valeurs de littérature à documenter comme hypothèses du modèle plutôt que sources de données à collecter.</w:t>
      </w:r>
    </w:p>
    <w:p>
      <w:pPr>
        <w:pStyle w:val="ListParagraph"/>
        <w:numPr>
          <w:ilvl w:val="0"/>
          <w:numId w:val="1"/>
        </w:numPr>
        <w:spacing w:after="80" w:line="276"/>
      </w:pPr>
      <w:r>
        <w:t xml:space="preserve">Estimations du taux de reproduction effectif (Rt), publiées par l'OFSP, utiles pour la validation a posteriori du modèle plutôt que comme covariable d'entrée.</w:t>
      </w:r>
    </w:p>
    <w:p>
      <w:pPr>
        <w:pStyle w:val="ListParagraph"/>
        <w:numPr>
          <w:ilvl w:val="0"/>
          <w:numId w:val="1"/>
        </w:numPr>
        <w:spacing w:after="80" w:line="276"/>
      </w:pPr>
      <w:r>
        <w:t xml:space="preserve">Taux de test et de positivité, pour corriger le sous-diagnostic dans les séries d'incidence utilisées comme données d'entrée du modèle.</w:t>
      </w:r>
    </w:p>
    <w:p>
      <w:pPr>
        <w:pStyle w:val="ListParagraph"/>
        <w:numPr>
          <w:ilvl w:val="0"/>
          <w:numId w:val="1"/>
        </w:numPr>
        <w:spacing w:after="80" w:line="276"/>
      </w:pPr>
      <w:r>
        <w:t xml:space="preserve">Si un SEIR spatialisé (métapopulation Genève-Vaud) est envisagé, une matrice de mobilité entre les deux cantons devient nécessaire, au-delà des données de mobilité génériques mentionnées au chapitre 9 (TPG, TL, CFF).</w:t>
      </w:r>
    </w:p>
    <w:p>
      <w:pPr>
        <w:pStyle w:val="Heading1"/>
        <w:spacing w:after="160" w:before="320"/>
      </w:pPr>
      <w:r>
        <w:t xml:space="preserve">Conclusion</w:t>
      </w:r>
    </w:p>
    <w:p>
      <w:pPr>
        <w:spacing w:after="160" w:line="276"/>
      </w:pPr>
      <w:r>
        <w:t xml:space="preserve">Ce rapport relie en un seul cadre les trois questions que pose le volet données du projet GESICA : quelles maladies, quelles variables, quelles sources. Le périmètre respiratoire est établi à partir du catalogue de 77 maladies par la classification en huit classes de modèles, puis hiérarchisé en cinq priorités opérationnelles : la priorité 1 (COVID-19, grippe, VRS), seule à permettre une détection précoce multicanal à haute fréquence, concentre le développement initial du système; les priorités 2 à 5 (autres maladies à transmission interhumaine, infections à source environnementale, veille pandémique, transmission respiratoire sans clinique respiratoire) s'intègrent ensuite, pour l'essentiel via le seul canal de la déclaration obligatoire. Les affections respiratoires non infectieuses forment une catégorie distincte, prise en compte par les covariables environnementales. Pour chaque maladie retenue, les symptômes de la définition de cas et les variables d'intérêt sont explicités, puis reliés à un inventaire de 23 sources de données documentées pour Genève et Vaud avec leurs institutions, historiques, fréquences, latences, modalités d'accès et limites de qualité.</w:t>
      </w:r>
    </w:p>
    <w:p>
      <w:pPr>
        <w:spacing w:after="160" w:line="276"/>
      </w:pPr>
      <w:r>
        <w:t xml:space="preserve">Les priorités opérationnelles qui en découlent sont au nombre de trois : ouvrir le canal de la déclaration obligatoire auprès des médecins cantonaux de Genève et de Vaud, qui dessert 17 des 20 maladies; construire et valider le système de détection précoce multicanal sur le COVID-19, la grippe et le VRS; et documenter les paramètres structurels du SEIR (matrices de contact, séroprévalence, taux de positivité) qui ne se trouvent dans aucune série de surveillance. Deux vérifications restent à mener avant l'intégration au modèle : la couverture effective de Lausanne par la surveillance nationale des eaux usées (Genève est confirmée), et les dates et effectifs précis des enquêtes de séroprévalence Corona Immunitas pour Genève et Vaud.</w:t>
      </w:r>
    </w:p>
    <w:p>
      <w:r>
        <w:br w:type="page"/>
      </w:r>
    </w:p>
    <w:p>
      <w:pPr>
        <w:pStyle w:val="Heading1"/>
        <w:spacing w:after="160" w:before="320"/>
      </w:pPr>
      <w:r>
        <w:t xml:space="preserve">Annexe : affectation des 77 maladies du catalogue</w:t>
      </w:r>
    </w:p>
    <w:p>
      <w:pPr>
        <w:spacing w:after="160" w:line="276"/>
      </w:pPr>
      <w:r>
        <w:t xml:space="preserve">Les noms de maladies sont ceux du catalogue (en anglais) pour assurer la traçabilité. Le mode de transmission complet, les spécifications de modèle et les remarques figurent dans le fichier Excel joint (feuille Catalogue_modeles).</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300"/>
        <w:gridCol w:w="2900"/>
        <w:gridCol w:w="2900"/>
      </w:tblGrid>
      <w:tr>
        <w:trPr>
          <w:tblHeader/>
        </w:trPr>
        <w:tc>
          <w:tcPr>
            <w:tcW w:type="dxa" w:w="500"/>
            <w:shd w:fill="1F3864" w:val="clear"/>
          </w:tcPr>
          <w:p>
            <w:r>
              <w:rPr>
                <w:b/>
                <w:bCs/>
                <w:color w:val="FFFFFF"/>
                <w:sz w:val="16"/>
                <w:szCs w:val="16"/>
              </w:rPr>
              <w:t xml:space="preserve">N°</w:t>
            </w:r>
          </w:p>
        </w:tc>
        <w:tc>
          <w:tcPr>
            <w:tcW w:type="dxa" w:w="2900"/>
            <w:shd w:fill="1F3864" w:val="clear"/>
          </w:tcPr>
          <w:p>
            <w:r>
              <w:rPr>
                <w:b/>
                <w:bCs/>
                <w:color w:val="FFFFFF"/>
                <w:sz w:val="16"/>
                <w:szCs w:val="16"/>
              </w:rPr>
              <w:t xml:space="preserve">Maladie (catalogue)</w:t>
            </w:r>
          </w:p>
        </w:tc>
        <w:tc>
          <w:tcPr>
            <w:tcW w:type="dxa" w:w="1300"/>
            <w:shd w:fill="1F3864" w:val="clear"/>
          </w:tcPr>
          <w:p>
            <w:r>
              <w:rPr>
                <w:b/>
                <w:bCs/>
                <w:color w:val="FFFFFF"/>
                <w:sz w:val="16"/>
                <w:szCs w:val="16"/>
              </w:rPr>
              <w:t xml:space="preserve">Pathogène</w:t>
            </w:r>
          </w:p>
        </w:tc>
        <w:tc>
          <w:tcPr>
            <w:tcW w:type="dxa" w:w="2900"/>
            <w:shd w:fill="1F3864" w:val="clear"/>
          </w:tcPr>
          <w:p>
            <w:r>
              <w:rPr>
                <w:b/>
                <w:bCs/>
                <w:color w:val="FFFFFF"/>
                <w:sz w:val="16"/>
                <w:szCs w:val="16"/>
              </w:rPr>
              <w:t xml:space="preserve">Classe de modèle</w:t>
            </w:r>
          </w:p>
        </w:tc>
        <w:tc>
          <w:tcPr>
            <w:tcW w:type="dxa" w:w="2900"/>
            <w:shd w:fill="1F3864" w:val="clear"/>
          </w:tcPr>
          <w:p>
            <w:r>
              <w:rPr>
                <w:b/>
                <w:bCs/>
                <w:color w:val="FFFFFF"/>
                <w:sz w:val="16"/>
                <w:szCs w:val="16"/>
              </w:rPr>
              <w:t xml:space="preserve">Pertinence respiratoire GESICA</w:t>
            </w:r>
          </w:p>
        </w:tc>
      </w:tr>
      <w:tr>
        <w:tc>
          <w:tcPr>
            <w:tcW w:type="dxa" w:w="500"/>
          </w:tcPr>
          <w:p>
            <w:r>
              <w:rPr>
                <w:b w:val="false"/>
                <w:bCs w:val="false"/>
                <w:sz w:val="16"/>
                <w:szCs w:val="16"/>
              </w:rPr>
              <w:t xml:space="preserve">01</w:t>
            </w:r>
          </w:p>
        </w:tc>
        <w:tc>
          <w:tcPr>
            <w:tcW w:type="dxa" w:w="2900"/>
          </w:tcPr>
          <w:p>
            <w:r>
              <w:rPr>
                <w:b w:val="false"/>
                <w:bCs w:val="false"/>
                <w:sz w:val="16"/>
                <w:szCs w:val="16"/>
              </w:rPr>
              <w:t xml:space="preserve">Acinetobacter baumannii</w:t>
            </w:r>
          </w:p>
        </w:tc>
        <w:tc>
          <w:tcPr>
            <w:tcW w:type="dxa" w:w="1300"/>
          </w:tcPr>
          <w:p>
            <w:r>
              <w:rPr>
                <w:b w:val="false"/>
                <w:bCs w:val="false"/>
                <w:sz w:val="16"/>
                <w:szCs w:val="16"/>
              </w:rPr>
              <w:t xml:space="preserve">Bacteria</w:t>
            </w:r>
          </w:p>
        </w:tc>
        <w:tc>
          <w:tcPr>
            <w:tcW w:type="dxa" w:w="2900"/>
            <w:shd w:fill="E4DFEC" w:val="clear"/>
          </w:tcPr>
          <w:p>
            <w:r>
              <w:rPr>
                <w:b w:val="false"/>
                <w:bCs w:val="false"/>
                <w:sz w:val="16"/>
                <w:szCs w:val="16"/>
              </w:rPr>
              <w:t xml:space="preserve">M6 : Nosocomial / résistance antimicrobienne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02</w:t>
            </w:r>
          </w:p>
        </w:tc>
        <w:tc>
          <w:tcPr>
            <w:tcW w:type="dxa" w:w="2900"/>
          </w:tcPr>
          <w:p>
            <w:r>
              <w:rPr>
                <w:b w:val="false"/>
                <w:bCs w:val="false"/>
                <w:sz w:val="16"/>
                <w:szCs w:val="16"/>
              </w:rPr>
              <w:t xml:space="preserve">Akhmeta Virus</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03</w:t>
            </w:r>
          </w:p>
        </w:tc>
        <w:tc>
          <w:tcPr>
            <w:tcW w:type="dxa" w:w="2900"/>
          </w:tcPr>
          <w:p>
            <w:r>
              <w:rPr>
                <w:b w:val="false"/>
                <w:bCs w:val="false"/>
                <w:sz w:val="16"/>
                <w:szCs w:val="16"/>
              </w:rPr>
              <w:t xml:space="preserve">Anthrax</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04</w:t>
            </w:r>
          </w:p>
        </w:tc>
        <w:tc>
          <w:tcPr>
            <w:tcW w:type="dxa" w:w="2900"/>
          </w:tcPr>
          <w:p>
            <w:r>
              <w:rPr>
                <w:b w:val="false"/>
                <w:bCs w:val="false"/>
                <w:sz w:val="16"/>
                <w:szCs w:val="16"/>
              </w:rPr>
              <w:t xml:space="preserve">Bartonellosis</w:t>
            </w:r>
          </w:p>
        </w:tc>
        <w:tc>
          <w:tcPr>
            <w:tcW w:type="dxa" w:w="1300"/>
          </w:tcPr>
          <w:p>
            <w:r>
              <w:rPr>
                <w:b w:val="false"/>
                <w:bCs w:val="false"/>
                <w:sz w:val="16"/>
                <w:szCs w:val="16"/>
              </w:rPr>
              <w:t xml:space="preserve">Bacteria</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05</w:t>
            </w:r>
          </w:p>
        </w:tc>
        <w:tc>
          <w:tcPr>
            <w:tcW w:type="dxa" w:w="2900"/>
          </w:tcPr>
          <w:p>
            <w:r>
              <w:rPr>
                <w:b w:val="false"/>
                <w:bCs w:val="false"/>
                <w:sz w:val="16"/>
                <w:szCs w:val="16"/>
              </w:rPr>
              <w:t xml:space="preserve">Botulism</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06</w:t>
            </w:r>
          </w:p>
        </w:tc>
        <w:tc>
          <w:tcPr>
            <w:tcW w:type="dxa" w:w="2900"/>
          </w:tcPr>
          <w:p>
            <w:r>
              <w:rPr>
                <w:b w:val="false"/>
                <w:bCs w:val="false"/>
                <w:sz w:val="16"/>
                <w:szCs w:val="16"/>
              </w:rPr>
              <w:t xml:space="preserve">Borealpox</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07</w:t>
            </w:r>
          </w:p>
        </w:tc>
        <w:tc>
          <w:tcPr>
            <w:tcW w:type="dxa" w:w="2900"/>
          </w:tcPr>
          <w:p>
            <w:r>
              <w:rPr>
                <w:b w:val="false"/>
                <w:bCs w:val="false"/>
                <w:sz w:val="16"/>
                <w:szCs w:val="16"/>
              </w:rPr>
              <w:t xml:space="preserve">Brucellosis</w:t>
            </w:r>
          </w:p>
        </w:tc>
        <w:tc>
          <w:tcPr>
            <w:tcW w:type="dxa" w:w="1300"/>
          </w:tcPr>
          <w:p>
            <w:r>
              <w:rPr>
                <w:b w:val="false"/>
                <w:bCs w:val="false"/>
                <w:sz w:val="16"/>
                <w:szCs w:val="16"/>
              </w:rPr>
              <w:t xml:space="preserve">Bacteria</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08</w:t>
            </w:r>
          </w:p>
        </w:tc>
        <w:tc>
          <w:tcPr>
            <w:tcW w:type="dxa" w:w="2900"/>
          </w:tcPr>
          <w:p>
            <w:r>
              <w:rPr>
                <w:b w:val="false"/>
                <w:bCs w:val="false"/>
                <w:sz w:val="16"/>
                <w:szCs w:val="16"/>
              </w:rPr>
              <w:t xml:space="preserve">Campylobacteriosis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09</w:t>
            </w:r>
          </w:p>
        </w:tc>
        <w:tc>
          <w:tcPr>
            <w:tcW w:type="dxa" w:w="2900"/>
          </w:tcPr>
          <w:p>
            <w:r>
              <w:rPr>
                <w:b w:val="false"/>
                <w:bCs w:val="false"/>
                <w:sz w:val="16"/>
                <w:szCs w:val="16"/>
              </w:rPr>
              <w:t xml:space="preserve">Carbapenem-resistant Enterobacteriaceae (CRE)</w:t>
            </w:r>
          </w:p>
        </w:tc>
        <w:tc>
          <w:tcPr>
            <w:tcW w:type="dxa" w:w="1300"/>
          </w:tcPr>
          <w:p>
            <w:r>
              <w:rPr>
                <w:b w:val="false"/>
                <w:bCs w:val="false"/>
                <w:sz w:val="16"/>
                <w:szCs w:val="16"/>
              </w:rPr>
              <w:t xml:space="preserve">Bacteria</w:t>
            </w:r>
          </w:p>
        </w:tc>
        <w:tc>
          <w:tcPr>
            <w:tcW w:type="dxa" w:w="2900"/>
            <w:shd w:fill="E4DFEC" w:val="clear"/>
          </w:tcPr>
          <w:p>
            <w:r>
              <w:rPr>
                <w:b w:val="false"/>
                <w:bCs w:val="false"/>
                <w:sz w:val="16"/>
                <w:szCs w:val="16"/>
              </w:rPr>
              <w:t xml:space="preserve">M6 : Nosocomial / résistance antimicrobienne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10</w:t>
            </w:r>
          </w:p>
        </w:tc>
        <w:tc>
          <w:tcPr>
            <w:tcW w:type="dxa" w:w="2900"/>
          </w:tcPr>
          <w:p>
            <w:r>
              <w:rPr>
                <w:b w:val="false"/>
                <w:bCs w:val="false"/>
                <w:sz w:val="16"/>
                <w:szCs w:val="16"/>
              </w:rPr>
              <w:t xml:space="preserve">Chikungunya virus disease</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11</w:t>
            </w:r>
          </w:p>
        </w:tc>
        <w:tc>
          <w:tcPr>
            <w:tcW w:type="dxa" w:w="2900"/>
          </w:tcPr>
          <w:p>
            <w:r>
              <w:rPr>
                <w:b w:val="false"/>
                <w:bCs w:val="false"/>
                <w:sz w:val="16"/>
                <w:szCs w:val="16"/>
              </w:rPr>
              <w:t xml:space="preserve">Chlamydia infections</w:t>
            </w:r>
          </w:p>
        </w:tc>
        <w:tc>
          <w:tcPr>
            <w:tcW w:type="dxa" w:w="1300"/>
          </w:tcPr>
          <w:p>
            <w:r>
              <w:rPr>
                <w:b w:val="false"/>
                <w:bCs w:val="false"/>
                <w:sz w:val="16"/>
                <w:szCs w:val="16"/>
              </w:rPr>
              <w:t xml:space="preserve">Bacteria</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12</w:t>
            </w:r>
          </w:p>
        </w:tc>
        <w:tc>
          <w:tcPr>
            <w:tcW w:type="dxa" w:w="2900"/>
          </w:tcPr>
          <w:p>
            <w:r>
              <w:rPr>
                <w:b w:val="false"/>
                <w:bCs w:val="false"/>
                <w:sz w:val="16"/>
                <w:szCs w:val="16"/>
              </w:rPr>
              <w:t xml:space="preserve">Cholera</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13</w:t>
            </w:r>
          </w:p>
        </w:tc>
        <w:tc>
          <w:tcPr>
            <w:tcW w:type="dxa" w:w="2900"/>
          </w:tcPr>
          <w:p>
            <w:r>
              <w:rPr>
                <w:b w:val="false"/>
                <w:bCs w:val="false"/>
                <w:sz w:val="16"/>
                <w:szCs w:val="16"/>
              </w:rPr>
              <w:t xml:space="preserve">Clostridioides difficile infection</w:t>
            </w:r>
          </w:p>
        </w:tc>
        <w:tc>
          <w:tcPr>
            <w:tcW w:type="dxa" w:w="1300"/>
          </w:tcPr>
          <w:p>
            <w:r>
              <w:rPr>
                <w:b w:val="false"/>
                <w:bCs w:val="false"/>
                <w:sz w:val="16"/>
                <w:szCs w:val="16"/>
              </w:rPr>
              <w:t xml:space="preserve">Bacteria</w:t>
            </w:r>
          </w:p>
        </w:tc>
        <w:tc>
          <w:tcPr>
            <w:tcW w:type="dxa" w:w="2900"/>
            <w:shd w:fill="E4DFEC" w:val="clear"/>
          </w:tcPr>
          <w:p>
            <w:r>
              <w:rPr>
                <w:b w:val="false"/>
                <w:bCs w:val="false"/>
                <w:sz w:val="16"/>
                <w:szCs w:val="16"/>
              </w:rPr>
              <w:t xml:space="preserve">M6 : Nosocomial / résistance antimicrobienne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14</w:t>
            </w:r>
          </w:p>
        </w:tc>
        <w:tc>
          <w:tcPr>
            <w:tcW w:type="dxa" w:w="2900"/>
          </w:tcPr>
          <w:p>
            <w:r>
              <w:rPr>
                <w:b w:val="false"/>
                <w:bCs w:val="false"/>
                <w:sz w:val="16"/>
                <w:szCs w:val="16"/>
              </w:rPr>
              <w:t xml:space="preserve">COVID-19 (SARS-COV2)</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P1 : surveillance multicanal à haute fréquence</w:t>
            </w:r>
          </w:p>
        </w:tc>
      </w:tr>
      <w:tr>
        <w:tc>
          <w:tcPr>
            <w:tcW w:type="dxa" w:w="500"/>
          </w:tcPr>
          <w:p>
            <w:r>
              <w:rPr>
                <w:b w:val="false"/>
                <w:bCs w:val="false"/>
                <w:sz w:val="16"/>
                <w:szCs w:val="16"/>
              </w:rPr>
              <w:t xml:space="preserve">15</w:t>
            </w:r>
          </w:p>
        </w:tc>
        <w:tc>
          <w:tcPr>
            <w:tcW w:type="dxa" w:w="2900"/>
          </w:tcPr>
          <w:p>
            <w:r>
              <w:rPr>
                <w:b w:val="false"/>
                <w:bCs w:val="false"/>
                <w:sz w:val="16"/>
                <w:szCs w:val="16"/>
              </w:rPr>
              <w:t xml:space="preserve">Creutzfeldt-Jakob disease, variant (vCJD)</w:t>
            </w:r>
          </w:p>
        </w:tc>
        <w:tc>
          <w:tcPr>
            <w:tcW w:type="dxa" w:w="1300"/>
          </w:tcPr>
          <w:p>
            <w:r>
              <w:rPr>
                <w:b w:val="false"/>
                <w:bCs w:val="false"/>
                <w:sz w:val="16"/>
                <w:szCs w:val="16"/>
              </w:rPr>
              <w:t xml:space="preserve">Prion protein</w:t>
            </w:r>
          </w:p>
        </w:tc>
        <w:tc>
          <w:tcPr>
            <w:tcW w:type="dxa" w:w="2900"/>
            <w:shd w:fill="FFFFFF" w:val="clear"/>
          </w:tcPr>
          <w:p>
            <w:r>
              <w:rPr>
                <w:b w:val="false"/>
                <w:bCs w:val="false"/>
                <w:sz w:val="16"/>
                <w:szCs w:val="16"/>
              </w:rPr>
              <w:t xml:space="preserve">M8 : Surveillance simple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16</w:t>
            </w:r>
          </w:p>
        </w:tc>
        <w:tc>
          <w:tcPr>
            <w:tcW w:type="dxa" w:w="2900"/>
          </w:tcPr>
          <w:p>
            <w:r>
              <w:rPr>
                <w:b w:val="false"/>
                <w:bCs w:val="false"/>
                <w:sz w:val="16"/>
                <w:szCs w:val="16"/>
              </w:rPr>
              <w:t xml:space="preserve">Cryptosporidiosis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17</w:t>
            </w:r>
          </w:p>
        </w:tc>
        <w:tc>
          <w:tcPr>
            <w:tcW w:type="dxa" w:w="2900"/>
          </w:tcPr>
          <w:p>
            <w:r>
              <w:rPr>
                <w:b w:val="false"/>
                <w:bCs w:val="false"/>
                <w:sz w:val="16"/>
                <w:szCs w:val="16"/>
              </w:rPr>
              <w:t xml:space="preserve">Cyclosporiasis infection</w:t>
            </w:r>
          </w:p>
        </w:tc>
        <w:tc>
          <w:tcPr>
            <w:tcW w:type="dxa" w:w="1300"/>
          </w:tcPr>
          <w:p>
            <w:r>
              <w:rPr>
                <w:b w:val="false"/>
                <w:bCs w:val="false"/>
                <w:sz w:val="16"/>
                <w:szCs w:val="16"/>
              </w:rPr>
              <w:t xml:space="preserve">Parasite (protozoan)</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18</w:t>
            </w:r>
          </w:p>
        </w:tc>
        <w:tc>
          <w:tcPr>
            <w:tcW w:type="dxa" w:w="2900"/>
          </w:tcPr>
          <w:p>
            <w:r>
              <w:rPr>
                <w:b w:val="false"/>
                <w:bCs w:val="false"/>
                <w:sz w:val="16"/>
                <w:szCs w:val="16"/>
              </w:rPr>
              <w:t xml:space="preserve">Dengue</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19</w:t>
            </w:r>
          </w:p>
        </w:tc>
        <w:tc>
          <w:tcPr>
            <w:tcW w:type="dxa" w:w="2900"/>
          </w:tcPr>
          <w:p>
            <w:r>
              <w:rPr>
                <w:b w:val="false"/>
                <w:bCs w:val="false"/>
                <w:sz w:val="16"/>
                <w:szCs w:val="16"/>
              </w:rPr>
              <w:t xml:space="preserve">Diphtheria</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20</w:t>
            </w:r>
          </w:p>
        </w:tc>
        <w:tc>
          <w:tcPr>
            <w:tcW w:type="dxa" w:w="2900"/>
          </w:tcPr>
          <w:p>
            <w:r>
              <w:rPr>
                <w:b w:val="false"/>
                <w:bCs w:val="false"/>
                <w:sz w:val="16"/>
                <w:szCs w:val="16"/>
              </w:rPr>
              <w:t xml:space="preserve">Giardiasis</w:t>
            </w:r>
          </w:p>
        </w:tc>
        <w:tc>
          <w:tcPr>
            <w:tcW w:type="dxa" w:w="1300"/>
          </w:tcPr>
          <w:p>
            <w:r>
              <w:rPr>
                <w:b w:val="false"/>
                <w:bCs w:val="false"/>
                <w:sz w:val="16"/>
                <w:szCs w:val="16"/>
              </w:rPr>
              <w:t xml:space="preserve">Parasite (protozoan)</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21</w:t>
            </w:r>
          </w:p>
        </w:tc>
        <w:tc>
          <w:tcPr>
            <w:tcW w:type="dxa" w:w="2900"/>
          </w:tcPr>
          <w:p>
            <w:r>
              <w:rPr>
                <w:b w:val="false"/>
                <w:bCs w:val="false"/>
                <w:sz w:val="16"/>
                <w:szCs w:val="16"/>
              </w:rPr>
              <w:t xml:space="preserve">Gonorrhoea</w:t>
            </w:r>
          </w:p>
        </w:tc>
        <w:tc>
          <w:tcPr>
            <w:tcW w:type="dxa" w:w="1300"/>
          </w:tcPr>
          <w:p>
            <w:r>
              <w:rPr>
                <w:b w:val="false"/>
                <w:bCs w:val="false"/>
                <w:sz w:val="16"/>
                <w:szCs w:val="16"/>
              </w:rPr>
              <w:t xml:space="preserve">Bacteria</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22</w:t>
            </w:r>
          </w:p>
        </w:tc>
        <w:tc>
          <w:tcPr>
            <w:tcW w:type="dxa" w:w="2900"/>
          </w:tcPr>
          <w:p>
            <w:r>
              <w:rPr>
                <w:b w:val="false"/>
                <w:bCs w:val="false"/>
                <w:sz w:val="16"/>
                <w:szCs w:val="16"/>
              </w:rPr>
              <w:t xml:space="preserve">Hantavirus pulmonary syndrome</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P3 : respiratoires à source environnementale</w:t>
            </w:r>
          </w:p>
        </w:tc>
      </w:tr>
      <w:tr>
        <w:tc>
          <w:tcPr>
            <w:tcW w:type="dxa" w:w="500"/>
          </w:tcPr>
          <w:p>
            <w:r>
              <w:rPr>
                <w:b w:val="false"/>
                <w:bCs w:val="false"/>
                <w:sz w:val="16"/>
                <w:szCs w:val="16"/>
              </w:rPr>
              <w:t xml:space="preserve">23</w:t>
            </w:r>
          </w:p>
        </w:tc>
        <w:tc>
          <w:tcPr>
            <w:tcW w:type="dxa" w:w="2900"/>
          </w:tcPr>
          <w:p>
            <w:r>
              <w:rPr>
                <w:b w:val="false"/>
                <w:bCs w:val="false"/>
                <w:sz w:val="16"/>
                <w:szCs w:val="16"/>
              </w:rPr>
              <w:t xml:space="preserve">Hendra virus infection</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24</w:t>
            </w:r>
          </w:p>
        </w:tc>
        <w:tc>
          <w:tcPr>
            <w:tcW w:type="dxa" w:w="2900"/>
          </w:tcPr>
          <w:p>
            <w:r>
              <w:rPr>
                <w:b w:val="false"/>
                <w:bCs w:val="false"/>
                <w:sz w:val="16"/>
                <w:szCs w:val="16"/>
              </w:rPr>
              <w:t xml:space="preserve">Hepatitis A</w:t>
            </w:r>
          </w:p>
        </w:tc>
        <w:tc>
          <w:tcPr>
            <w:tcW w:type="dxa" w:w="1300"/>
          </w:tcPr>
          <w:p>
            <w:r>
              <w:rPr>
                <w:b w:val="false"/>
                <w:bCs w:val="false"/>
                <w:sz w:val="16"/>
                <w:szCs w:val="16"/>
              </w:rPr>
              <w:t xml:space="preserve">Virus</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25</w:t>
            </w:r>
          </w:p>
        </w:tc>
        <w:tc>
          <w:tcPr>
            <w:tcW w:type="dxa" w:w="2900"/>
          </w:tcPr>
          <w:p>
            <w:r>
              <w:rPr>
                <w:b w:val="false"/>
                <w:bCs w:val="false"/>
                <w:sz w:val="16"/>
                <w:szCs w:val="16"/>
              </w:rPr>
              <w:t xml:space="preserve">Hepatitis B</w:t>
            </w:r>
          </w:p>
        </w:tc>
        <w:tc>
          <w:tcPr>
            <w:tcW w:type="dxa" w:w="1300"/>
          </w:tcPr>
          <w:p>
            <w:r>
              <w:rPr>
                <w:b w:val="false"/>
                <w:bCs w:val="false"/>
                <w:sz w:val="16"/>
                <w:szCs w:val="16"/>
              </w:rPr>
              <w:t xml:space="preserve">Virus</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26</w:t>
            </w:r>
          </w:p>
        </w:tc>
        <w:tc>
          <w:tcPr>
            <w:tcW w:type="dxa" w:w="2900"/>
          </w:tcPr>
          <w:p>
            <w:r>
              <w:rPr>
                <w:b w:val="false"/>
                <w:bCs w:val="false"/>
                <w:sz w:val="16"/>
                <w:szCs w:val="16"/>
              </w:rPr>
              <w:t xml:space="preserve">Hepatitis C</w:t>
            </w:r>
          </w:p>
        </w:tc>
        <w:tc>
          <w:tcPr>
            <w:tcW w:type="dxa" w:w="1300"/>
          </w:tcPr>
          <w:p>
            <w:r>
              <w:rPr>
                <w:b w:val="false"/>
                <w:bCs w:val="false"/>
                <w:sz w:val="16"/>
                <w:szCs w:val="16"/>
              </w:rPr>
              <w:t xml:space="preserve">Virus</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27</w:t>
            </w:r>
          </w:p>
        </w:tc>
        <w:tc>
          <w:tcPr>
            <w:tcW w:type="dxa" w:w="2900"/>
          </w:tcPr>
          <w:p>
            <w:r>
              <w:rPr>
                <w:b w:val="false"/>
                <w:bCs w:val="false"/>
                <w:sz w:val="16"/>
                <w:szCs w:val="16"/>
              </w:rPr>
              <w:t xml:space="preserve">HIV infection and AIDS</w:t>
            </w:r>
          </w:p>
        </w:tc>
        <w:tc>
          <w:tcPr>
            <w:tcW w:type="dxa" w:w="1300"/>
          </w:tcPr>
          <w:p>
            <w:r>
              <w:rPr>
                <w:b w:val="false"/>
                <w:bCs w:val="false"/>
                <w:sz w:val="16"/>
                <w:szCs w:val="16"/>
              </w:rPr>
              <w:t xml:space="preserve">Virus</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28</w:t>
            </w:r>
          </w:p>
        </w:tc>
        <w:tc>
          <w:tcPr>
            <w:tcW w:type="dxa" w:w="2900"/>
          </w:tcPr>
          <w:p>
            <w:r>
              <w:rPr>
                <w:b w:val="false"/>
                <w:bCs w:val="false"/>
                <w:sz w:val="16"/>
                <w:szCs w:val="16"/>
              </w:rPr>
              <w:t xml:space="preserve">Invasive Haemophilus influenzae disease</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29</w:t>
            </w:r>
          </w:p>
        </w:tc>
        <w:tc>
          <w:tcPr>
            <w:tcW w:type="dxa" w:w="2900"/>
          </w:tcPr>
          <w:p>
            <w:r>
              <w:rPr>
                <w:b w:val="false"/>
                <w:bCs w:val="false"/>
                <w:sz w:val="16"/>
                <w:szCs w:val="16"/>
              </w:rPr>
              <w:t xml:space="preserve">Influenza</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P1 : surveillance multicanal à haute fréquence</w:t>
            </w:r>
          </w:p>
        </w:tc>
      </w:tr>
      <w:tr>
        <w:tc>
          <w:tcPr>
            <w:tcW w:type="dxa" w:w="500"/>
          </w:tcPr>
          <w:p>
            <w:r>
              <w:rPr>
                <w:b w:val="false"/>
                <w:bCs w:val="false"/>
                <w:sz w:val="16"/>
                <w:szCs w:val="16"/>
              </w:rPr>
              <w:t xml:space="preserve">30</w:t>
            </w:r>
          </w:p>
        </w:tc>
        <w:tc>
          <w:tcPr>
            <w:tcW w:type="dxa" w:w="2900"/>
          </w:tcPr>
          <w:p>
            <w:r>
              <w:rPr>
                <w:b w:val="false"/>
                <w:bCs w:val="false"/>
                <w:sz w:val="16"/>
                <w:szCs w:val="16"/>
              </w:rPr>
              <w:t xml:space="preserve">Invasive meningococcal disease</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31</w:t>
            </w:r>
          </w:p>
        </w:tc>
        <w:tc>
          <w:tcPr>
            <w:tcW w:type="dxa" w:w="2900"/>
          </w:tcPr>
          <w:p>
            <w:r>
              <w:rPr>
                <w:b w:val="false"/>
                <w:bCs w:val="false"/>
                <w:sz w:val="16"/>
                <w:szCs w:val="16"/>
              </w:rPr>
              <w:t xml:space="preserve">Invasive pneumococcal disease</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32</w:t>
            </w:r>
          </w:p>
        </w:tc>
        <w:tc>
          <w:tcPr>
            <w:tcW w:type="dxa" w:w="2900"/>
          </w:tcPr>
          <w:p>
            <w:r>
              <w:rPr>
                <w:b w:val="false"/>
                <w:bCs w:val="false"/>
                <w:sz w:val="16"/>
                <w:szCs w:val="16"/>
              </w:rPr>
              <w:t xml:space="preserve">Japanese encephalitis</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33</w:t>
            </w:r>
          </w:p>
        </w:tc>
        <w:tc>
          <w:tcPr>
            <w:tcW w:type="dxa" w:w="2900"/>
          </w:tcPr>
          <w:p>
            <w:r>
              <w:rPr>
                <w:b w:val="false"/>
                <w:bCs w:val="false"/>
                <w:sz w:val="16"/>
                <w:szCs w:val="16"/>
              </w:rPr>
              <w:t xml:space="preserve">Lassa fever</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34</w:t>
            </w:r>
          </w:p>
        </w:tc>
        <w:tc>
          <w:tcPr>
            <w:tcW w:type="dxa" w:w="2900"/>
          </w:tcPr>
          <w:p>
            <w:r>
              <w:rPr>
                <w:b w:val="false"/>
                <w:bCs w:val="false"/>
                <w:sz w:val="16"/>
                <w:szCs w:val="16"/>
              </w:rPr>
              <w:t xml:space="preserve">Legionnaires’ disease</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P3 : respiratoires à source environnementale</w:t>
            </w:r>
          </w:p>
        </w:tc>
      </w:tr>
      <w:tr>
        <w:tc>
          <w:tcPr>
            <w:tcW w:type="dxa" w:w="500"/>
          </w:tcPr>
          <w:p>
            <w:r>
              <w:rPr>
                <w:b w:val="false"/>
                <w:bCs w:val="false"/>
                <w:sz w:val="16"/>
                <w:szCs w:val="16"/>
              </w:rPr>
              <w:t xml:space="preserve">35</w:t>
            </w:r>
          </w:p>
        </w:tc>
        <w:tc>
          <w:tcPr>
            <w:tcW w:type="dxa" w:w="2900"/>
          </w:tcPr>
          <w:p>
            <w:r>
              <w:rPr>
                <w:b w:val="false"/>
                <w:bCs w:val="false"/>
                <w:sz w:val="16"/>
                <w:szCs w:val="16"/>
              </w:rPr>
              <w:t xml:space="preserve">Leptospirosis</w:t>
            </w:r>
          </w:p>
        </w:tc>
        <w:tc>
          <w:tcPr>
            <w:tcW w:type="dxa" w:w="1300"/>
          </w:tcPr>
          <w:p>
            <w:r>
              <w:rPr>
                <w:b w:val="false"/>
                <w:bCs w:val="false"/>
                <w:sz w:val="16"/>
                <w:szCs w:val="16"/>
              </w:rPr>
              <w:t xml:space="preserve">Bacteria</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36</w:t>
            </w:r>
          </w:p>
        </w:tc>
        <w:tc>
          <w:tcPr>
            <w:tcW w:type="dxa" w:w="2900"/>
          </w:tcPr>
          <w:p>
            <w:r>
              <w:rPr>
                <w:b w:val="false"/>
                <w:bCs w:val="false"/>
                <w:sz w:val="16"/>
                <w:szCs w:val="16"/>
              </w:rPr>
              <w:t xml:space="preserve">Listeriosis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37</w:t>
            </w:r>
          </w:p>
        </w:tc>
        <w:tc>
          <w:tcPr>
            <w:tcW w:type="dxa" w:w="2900"/>
          </w:tcPr>
          <w:p>
            <w:r>
              <w:rPr>
                <w:b w:val="false"/>
                <w:bCs w:val="false"/>
                <w:sz w:val="16"/>
                <w:szCs w:val="16"/>
              </w:rPr>
              <w:t xml:space="preserve">Lyme neuroborreliosis</w:t>
            </w:r>
          </w:p>
        </w:tc>
        <w:tc>
          <w:tcPr>
            <w:tcW w:type="dxa" w:w="1300"/>
          </w:tcPr>
          <w:p>
            <w:r>
              <w:rPr>
                <w:b w:val="false"/>
                <w:bCs w:val="false"/>
                <w:sz w:val="16"/>
                <w:szCs w:val="16"/>
              </w:rPr>
              <w:t xml:space="preserve">Bacteria</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38</w:t>
            </w:r>
          </w:p>
        </w:tc>
        <w:tc>
          <w:tcPr>
            <w:tcW w:type="dxa" w:w="2900"/>
          </w:tcPr>
          <w:p>
            <w:r>
              <w:rPr>
                <w:b w:val="false"/>
                <w:bCs w:val="false"/>
                <w:sz w:val="16"/>
                <w:szCs w:val="16"/>
              </w:rPr>
              <w:t xml:space="preserve">Malaria (drug-resistant)</w:t>
            </w:r>
          </w:p>
        </w:tc>
        <w:tc>
          <w:tcPr>
            <w:tcW w:type="dxa" w:w="1300"/>
          </w:tcPr>
          <w:p>
            <w:r>
              <w:rPr>
                <w:b w:val="false"/>
                <w:bCs w:val="false"/>
                <w:sz w:val="16"/>
                <w:szCs w:val="16"/>
              </w:rPr>
              <w:t xml:space="preserve">Parasite (protozoan)</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39</w:t>
            </w:r>
          </w:p>
        </w:tc>
        <w:tc>
          <w:tcPr>
            <w:tcW w:type="dxa" w:w="2900"/>
          </w:tcPr>
          <w:p>
            <w:r>
              <w:rPr>
                <w:b w:val="false"/>
                <w:bCs w:val="false"/>
                <w:sz w:val="16"/>
                <w:szCs w:val="16"/>
              </w:rPr>
              <w:t xml:space="preserve">Marburg hemorrhagic Fever</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40</w:t>
            </w:r>
          </w:p>
        </w:tc>
        <w:tc>
          <w:tcPr>
            <w:tcW w:type="dxa" w:w="2900"/>
          </w:tcPr>
          <w:p>
            <w:r>
              <w:rPr>
                <w:b w:val="false"/>
                <w:bCs w:val="false"/>
                <w:sz w:val="16"/>
                <w:szCs w:val="16"/>
              </w:rPr>
              <w:t xml:space="preserve">Measles</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P5 : transmission respiratoire, clinique autre</w:t>
            </w:r>
          </w:p>
        </w:tc>
      </w:tr>
      <w:tr>
        <w:tc>
          <w:tcPr>
            <w:tcW w:type="dxa" w:w="500"/>
          </w:tcPr>
          <w:p>
            <w:r>
              <w:rPr>
                <w:b w:val="false"/>
                <w:bCs w:val="false"/>
                <w:sz w:val="16"/>
                <w:szCs w:val="16"/>
              </w:rPr>
              <w:t xml:space="preserve">41</w:t>
            </w:r>
          </w:p>
        </w:tc>
        <w:tc>
          <w:tcPr>
            <w:tcW w:type="dxa" w:w="2900"/>
          </w:tcPr>
          <w:p>
            <w:r>
              <w:rPr>
                <w:b w:val="false"/>
                <w:bCs w:val="false"/>
                <w:sz w:val="16"/>
                <w:szCs w:val="16"/>
              </w:rPr>
              <w:t xml:space="preserve">Methicillin-Resistant Staphylococcus aureus (MRSA)</w:t>
            </w:r>
          </w:p>
        </w:tc>
        <w:tc>
          <w:tcPr>
            <w:tcW w:type="dxa" w:w="1300"/>
          </w:tcPr>
          <w:p>
            <w:r>
              <w:rPr>
                <w:b w:val="false"/>
                <w:bCs w:val="false"/>
                <w:sz w:val="16"/>
                <w:szCs w:val="16"/>
              </w:rPr>
              <w:t xml:space="preserve">Bacteria</w:t>
            </w:r>
          </w:p>
        </w:tc>
        <w:tc>
          <w:tcPr>
            <w:tcW w:type="dxa" w:w="2900"/>
            <w:shd w:fill="E4DFEC" w:val="clear"/>
          </w:tcPr>
          <w:p>
            <w:r>
              <w:rPr>
                <w:b w:val="false"/>
                <w:bCs w:val="false"/>
                <w:sz w:val="16"/>
                <w:szCs w:val="16"/>
              </w:rPr>
              <w:t xml:space="preserve">M6 : Nosocomial / résistance antimicrobienne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42</w:t>
            </w:r>
          </w:p>
        </w:tc>
        <w:tc>
          <w:tcPr>
            <w:tcW w:type="dxa" w:w="2900"/>
          </w:tcPr>
          <w:p>
            <w:r>
              <w:rPr>
                <w:b w:val="false"/>
                <w:bCs w:val="false"/>
                <w:sz w:val="16"/>
                <w:szCs w:val="16"/>
              </w:rPr>
              <w:t xml:space="preserve">Middle East Respiratory Syndrome (MERS-COV)</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P4 : veille pandémique</w:t>
            </w:r>
          </w:p>
        </w:tc>
      </w:tr>
      <w:tr>
        <w:tc>
          <w:tcPr>
            <w:tcW w:type="dxa" w:w="500"/>
          </w:tcPr>
          <w:p>
            <w:r>
              <w:rPr>
                <w:b w:val="false"/>
                <w:bCs w:val="false"/>
                <w:sz w:val="16"/>
                <w:szCs w:val="16"/>
              </w:rPr>
              <w:t xml:space="preserve">43</w:t>
            </w:r>
          </w:p>
        </w:tc>
        <w:tc>
          <w:tcPr>
            <w:tcW w:type="dxa" w:w="2900"/>
          </w:tcPr>
          <w:p>
            <w:r>
              <w:rPr>
                <w:b w:val="false"/>
                <w:bCs w:val="false"/>
                <w:sz w:val="16"/>
                <w:szCs w:val="16"/>
              </w:rPr>
              <w:t xml:space="preserve">Mpox</w:t>
            </w:r>
          </w:p>
        </w:tc>
        <w:tc>
          <w:tcPr>
            <w:tcW w:type="dxa" w:w="1300"/>
          </w:tcPr>
          <w:p>
            <w:r>
              <w:rPr>
                <w:b w:val="false"/>
                <w:bCs w:val="false"/>
                <w:sz w:val="16"/>
                <w:szCs w:val="16"/>
              </w:rPr>
              <w:t xml:space="preserve">Virus</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44</w:t>
            </w:r>
          </w:p>
        </w:tc>
        <w:tc>
          <w:tcPr>
            <w:tcW w:type="dxa" w:w="2900"/>
          </w:tcPr>
          <w:p>
            <w:r>
              <w:rPr>
                <w:b w:val="false"/>
                <w:bCs w:val="false"/>
                <w:sz w:val="16"/>
                <w:szCs w:val="16"/>
              </w:rPr>
              <w:t xml:space="preserve">Mumps</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P5 : transmission respiratoire, clinique autre</w:t>
            </w:r>
          </w:p>
        </w:tc>
      </w:tr>
      <w:tr>
        <w:tc>
          <w:tcPr>
            <w:tcW w:type="dxa" w:w="500"/>
          </w:tcPr>
          <w:p>
            <w:r>
              <w:rPr>
                <w:b w:val="false"/>
                <w:bCs w:val="false"/>
                <w:sz w:val="16"/>
                <w:szCs w:val="16"/>
              </w:rPr>
              <w:t xml:space="preserve">45</w:t>
            </w:r>
          </w:p>
        </w:tc>
        <w:tc>
          <w:tcPr>
            <w:tcW w:type="dxa" w:w="2900"/>
          </w:tcPr>
          <w:p>
            <w:r>
              <w:rPr>
                <w:b w:val="false"/>
                <w:bCs w:val="false"/>
                <w:sz w:val="16"/>
                <w:szCs w:val="16"/>
              </w:rPr>
              <w:t xml:space="preserve">Nipah virus infection</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P4 : veille pandémique</w:t>
            </w:r>
          </w:p>
        </w:tc>
      </w:tr>
      <w:tr>
        <w:tc>
          <w:tcPr>
            <w:tcW w:type="dxa" w:w="500"/>
          </w:tcPr>
          <w:p>
            <w:r>
              <w:rPr>
                <w:b w:val="false"/>
                <w:bCs w:val="false"/>
                <w:sz w:val="16"/>
                <w:szCs w:val="16"/>
              </w:rPr>
              <w:t xml:space="preserve">46</w:t>
            </w:r>
          </w:p>
        </w:tc>
        <w:tc>
          <w:tcPr>
            <w:tcW w:type="dxa" w:w="2900"/>
          </w:tcPr>
          <w:p>
            <w:r>
              <w:rPr>
                <w:b w:val="false"/>
                <w:bCs w:val="false"/>
                <w:sz w:val="16"/>
                <w:szCs w:val="16"/>
              </w:rPr>
              <w:t xml:space="preserve">Oropouche Fever</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47</w:t>
            </w:r>
          </w:p>
        </w:tc>
        <w:tc>
          <w:tcPr>
            <w:tcW w:type="dxa" w:w="2900"/>
          </w:tcPr>
          <w:p>
            <w:r>
              <w:rPr>
                <w:b w:val="false"/>
                <w:bCs w:val="false"/>
                <w:sz w:val="16"/>
                <w:szCs w:val="16"/>
              </w:rPr>
              <w:t xml:space="preserve">Pathogenic Escherichia coli infections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48</w:t>
            </w:r>
          </w:p>
        </w:tc>
        <w:tc>
          <w:tcPr>
            <w:tcW w:type="dxa" w:w="2900"/>
          </w:tcPr>
          <w:p>
            <w:r>
              <w:rPr>
                <w:b w:val="false"/>
                <w:bCs w:val="false"/>
                <w:sz w:val="16"/>
                <w:szCs w:val="16"/>
              </w:rPr>
              <w:t xml:space="preserve">Pertussis</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49</w:t>
            </w:r>
          </w:p>
        </w:tc>
        <w:tc>
          <w:tcPr>
            <w:tcW w:type="dxa" w:w="2900"/>
          </w:tcPr>
          <w:p>
            <w:r>
              <w:rPr>
                <w:b w:val="false"/>
                <w:bCs w:val="false"/>
                <w:sz w:val="16"/>
                <w:szCs w:val="16"/>
              </w:rPr>
              <w:t xml:space="preserve">Plague</w:t>
            </w:r>
          </w:p>
        </w:tc>
        <w:tc>
          <w:tcPr>
            <w:tcW w:type="dxa" w:w="1300"/>
          </w:tcPr>
          <w:p>
            <w:r>
              <w:rPr>
                <w:b w:val="false"/>
                <w:bCs w:val="false"/>
                <w:sz w:val="16"/>
                <w:szCs w:val="16"/>
              </w:rPr>
              <w:t xml:space="preserve">Bacteria</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50</w:t>
            </w:r>
          </w:p>
        </w:tc>
        <w:tc>
          <w:tcPr>
            <w:tcW w:type="dxa" w:w="2900"/>
          </w:tcPr>
          <w:p>
            <w:r>
              <w:rPr>
                <w:b w:val="false"/>
                <w:bCs w:val="false"/>
                <w:sz w:val="16"/>
                <w:szCs w:val="16"/>
              </w:rPr>
              <w:t xml:space="preserve">Poliomyelitis</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P5 : transmission respiratoire, clinique autre</w:t>
            </w:r>
          </w:p>
        </w:tc>
      </w:tr>
      <w:tr>
        <w:tc>
          <w:tcPr>
            <w:tcW w:type="dxa" w:w="500"/>
          </w:tcPr>
          <w:p>
            <w:r>
              <w:rPr>
                <w:b w:val="false"/>
                <w:bCs w:val="false"/>
                <w:sz w:val="16"/>
                <w:szCs w:val="16"/>
              </w:rPr>
              <w:t xml:space="preserve">51</w:t>
            </w:r>
          </w:p>
        </w:tc>
        <w:tc>
          <w:tcPr>
            <w:tcW w:type="dxa" w:w="2900"/>
          </w:tcPr>
          <w:p>
            <w:r>
              <w:rPr>
                <w:b w:val="false"/>
                <w:bCs w:val="false"/>
                <w:sz w:val="16"/>
                <w:szCs w:val="16"/>
              </w:rPr>
              <w:t xml:space="preserve">Q fever</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P3 : respiratoires à source environnementale</w:t>
            </w:r>
          </w:p>
        </w:tc>
      </w:tr>
      <w:tr>
        <w:tc>
          <w:tcPr>
            <w:tcW w:type="dxa" w:w="500"/>
          </w:tcPr>
          <w:p>
            <w:r>
              <w:rPr>
                <w:b w:val="false"/>
                <w:bCs w:val="false"/>
                <w:sz w:val="16"/>
                <w:szCs w:val="16"/>
              </w:rPr>
              <w:t xml:space="preserve">52</w:t>
            </w:r>
          </w:p>
        </w:tc>
        <w:tc>
          <w:tcPr>
            <w:tcW w:type="dxa" w:w="2900"/>
          </w:tcPr>
          <w:p>
            <w:r>
              <w:rPr>
                <w:b w:val="false"/>
                <w:bCs w:val="false"/>
                <w:sz w:val="16"/>
                <w:szCs w:val="16"/>
              </w:rPr>
              <w:t xml:space="preserve">Rabies</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53</w:t>
            </w:r>
          </w:p>
        </w:tc>
        <w:tc>
          <w:tcPr>
            <w:tcW w:type="dxa" w:w="2900"/>
          </w:tcPr>
          <w:p>
            <w:r>
              <w:rPr>
                <w:b w:val="false"/>
                <w:bCs w:val="false"/>
                <w:sz w:val="16"/>
                <w:szCs w:val="16"/>
              </w:rPr>
              <w:t xml:space="preserve">Rift Valley fever</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54</w:t>
            </w:r>
          </w:p>
        </w:tc>
        <w:tc>
          <w:tcPr>
            <w:tcW w:type="dxa" w:w="2900"/>
          </w:tcPr>
          <w:p>
            <w:r>
              <w:rPr>
                <w:b w:val="false"/>
                <w:bCs w:val="false"/>
                <w:sz w:val="16"/>
                <w:szCs w:val="16"/>
              </w:rPr>
              <w:t xml:space="preserve">Rubella</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P5 : transmission respiratoire, clinique autre</w:t>
            </w:r>
          </w:p>
        </w:tc>
      </w:tr>
      <w:tr>
        <w:tc>
          <w:tcPr>
            <w:tcW w:type="dxa" w:w="500"/>
          </w:tcPr>
          <w:p>
            <w:r>
              <w:rPr>
                <w:b w:val="false"/>
                <w:bCs w:val="false"/>
                <w:sz w:val="16"/>
                <w:szCs w:val="16"/>
              </w:rPr>
              <w:t xml:space="preserve">55</w:t>
            </w:r>
          </w:p>
        </w:tc>
        <w:tc>
          <w:tcPr>
            <w:tcW w:type="dxa" w:w="2900"/>
          </w:tcPr>
          <w:p>
            <w:r>
              <w:rPr>
                <w:b w:val="false"/>
                <w:bCs w:val="false"/>
                <w:sz w:val="16"/>
                <w:szCs w:val="16"/>
              </w:rPr>
              <w:t xml:space="preserve">Rubella, congenital</w:t>
            </w:r>
          </w:p>
        </w:tc>
        <w:tc>
          <w:tcPr>
            <w:tcW w:type="dxa" w:w="1300"/>
          </w:tcPr>
          <w:p>
            <w:r>
              <w:rPr>
                <w:b w:val="false"/>
                <w:bCs w:val="false"/>
                <w:sz w:val="16"/>
                <w:szCs w:val="16"/>
              </w:rPr>
              <w:t xml:space="preserve">Virus</w:t>
            </w:r>
          </w:p>
        </w:tc>
        <w:tc>
          <w:tcPr>
            <w:tcW w:type="dxa" w:w="2900"/>
            <w:shd w:fill="F2F2F2" w:val="clear"/>
          </w:tcPr>
          <w:p>
            <w:r>
              <w:rPr>
                <w:b w:val="false"/>
                <w:bCs w:val="false"/>
                <w:sz w:val="16"/>
                <w:szCs w:val="16"/>
              </w:rPr>
              <w:t xml:space="preserve">M7 : Congénital (dérivé)</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56</w:t>
            </w:r>
          </w:p>
        </w:tc>
        <w:tc>
          <w:tcPr>
            <w:tcW w:type="dxa" w:w="2900"/>
          </w:tcPr>
          <w:p>
            <w:r>
              <w:rPr>
                <w:b w:val="false"/>
                <w:bCs w:val="false"/>
                <w:sz w:val="16"/>
                <w:szCs w:val="16"/>
              </w:rPr>
              <w:t xml:space="preserve">Salmonellosis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57</w:t>
            </w:r>
          </w:p>
        </w:tc>
        <w:tc>
          <w:tcPr>
            <w:tcW w:type="dxa" w:w="2900"/>
          </w:tcPr>
          <w:p>
            <w:r>
              <w:rPr>
                <w:b w:val="false"/>
                <w:bCs w:val="false"/>
                <w:sz w:val="16"/>
                <w:szCs w:val="16"/>
              </w:rPr>
              <w:t xml:space="preserve">Severe Acute Respiratory Syndrome (SARS-COV1)</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58</w:t>
            </w:r>
          </w:p>
        </w:tc>
        <w:tc>
          <w:tcPr>
            <w:tcW w:type="dxa" w:w="2900"/>
          </w:tcPr>
          <w:p>
            <w:r>
              <w:rPr>
                <w:b w:val="false"/>
                <w:bCs w:val="false"/>
                <w:sz w:val="16"/>
                <w:szCs w:val="16"/>
              </w:rPr>
              <w:t xml:space="preserve">Shiga toxin/verocytotoxin-producing E. coli (STEC/VTEC)</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59</w:t>
            </w:r>
          </w:p>
        </w:tc>
        <w:tc>
          <w:tcPr>
            <w:tcW w:type="dxa" w:w="2900"/>
          </w:tcPr>
          <w:p>
            <w:r>
              <w:rPr>
                <w:b w:val="false"/>
                <w:bCs w:val="false"/>
                <w:sz w:val="16"/>
                <w:szCs w:val="16"/>
              </w:rPr>
              <w:t xml:space="preserve">Shigellosis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60</w:t>
            </w:r>
          </w:p>
        </w:tc>
        <w:tc>
          <w:tcPr>
            <w:tcW w:type="dxa" w:w="2900"/>
          </w:tcPr>
          <w:p>
            <w:r>
              <w:rPr>
                <w:b w:val="false"/>
                <w:bCs w:val="false"/>
                <w:sz w:val="16"/>
                <w:szCs w:val="16"/>
              </w:rPr>
              <w:t xml:space="preserve">Smallpox</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P5 : transmission respiratoire, clinique autre</w:t>
            </w:r>
          </w:p>
        </w:tc>
      </w:tr>
      <w:tr>
        <w:tc>
          <w:tcPr>
            <w:tcW w:type="dxa" w:w="500"/>
          </w:tcPr>
          <w:p>
            <w:r>
              <w:rPr>
                <w:b w:val="false"/>
                <w:bCs w:val="false"/>
                <w:sz w:val="16"/>
                <w:szCs w:val="16"/>
              </w:rPr>
              <w:t xml:space="preserve">61</w:t>
            </w:r>
          </w:p>
        </w:tc>
        <w:tc>
          <w:tcPr>
            <w:tcW w:type="dxa" w:w="2900"/>
          </w:tcPr>
          <w:p>
            <w:r>
              <w:rPr>
                <w:b w:val="false"/>
                <w:bCs w:val="false"/>
                <w:sz w:val="16"/>
                <w:szCs w:val="16"/>
              </w:rPr>
              <w:t xml:space="preserve">Syphilis</w:t>
            </w:r>
          </w:p>
        </w:tc>
        <w:tc>
          <w:tcPr>
            <w:tcW w:type="dxa" w:w="1300"/>
          </w:tcPr>
          <w:p>
            <w:r>
              <w:rPr>
                <w:b w:val="false"/>
                <w:bCs w:val="false"/>
                <w:sz w:val="16"/>
                <w:szCs w:val="16"/>
              </w:rPr>
              <w:t xml:space="preserve">Bacteria</w:t>
            </w:r>
          </w:p>
        </w:tc>
        <w:tc>
          <w:tcPr>
            <w:tcW w:type="dxa" w:w="2900"/>
            <w:shd w:fill="EDEDED" w:val="clear"/>
          </w:tcPr>
          <w:p>
            <w:r>
              <w:rPr>
                <w:b w:val="false"/>
                <w:bCs w:val="false"/>
                <w:sz w:val="16"/>
                <w:szCs w:val="16"/>
              </w:rPr>
              <w:t xml:space="preserve">M5 : Réseaux de contact étroit</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62</w:t>
            </w:r>
          </w:p>
        </w:tc>
        <w:tc>
          <w:tcPr>
            <w:tcW w:type="dxa" w:w="2900"/>
          </w:tcPr>
          <w:p>
            <w:r>
              <w:rPr>
                <w:b w:val="false"/>
                <w:bCs w:val="false"/>
                <w:sz w:val="16"/>
                <w:szCs w:val="16"/>
              </w:rPr>
              <w:t xml:space="preserve">Syphilis, congenital</w:t>
            </w:r>
          </w:p>
        </w:tc>
        <w:tc>
          <w:tcPr>
            <w:tcW w:type="dxa" w:w="1300"/>
          </w:tcPr>
          <w:p>
            <w:r>
              <w:rPr>
                <w:b w:val="false"/>
                <w:bCs w:val="false"/>
                <w:sz w:val="16"/>
                <w:szCs w:val="16"/>
              </w:rPr>
              <w:t xml:space="preserve">Bacteria</w:t>
            </w:r>
          </w:p>
        </w:tc>
        <w:tc>
          <w:tcPr>
            <w:tcW w:type="dxa" w:w="2900"/>
            <w:shd w:fill="F2F2F2" w:val="clear"/>
          </w:tcPr>
          <w:p>
            <w:r>
              <w:rPr>
                <w:b w:val="false"/>
                <w:bCs w:val="false"/>
                <w:sz w:val="16"/>
                <w:szCs w:val="16"/>
              </w:rPr>
              <w:t xml:space="preserve">M7 : Congénital (dérivé)</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63</w:t>
            </w:r>
          </w:p>
        </w:tc>
        <w:tc>
          <w:tcPr>
            <w:tcW w:type="dxa" w:w="2900"/>
          </w:tcPr>
          <w:p>
            <w:r>
              <w:rPr>
                <w:b w:val="false"/>
                <w:bCs w:val="false"/>
                <w:sz w:val="16"/>
                <w:szCs w:val="16"/>
              </w:rPr>
              <w:t xml:space="preserve">Tetanus</w:t>
            </w:r>
          </w:p>
        </w:tc>
        <w:tc>
          <w:tcPr>
            <w:tcW w:type="dxa" w:w="1300"/>
          </w:tcPr>
          <w:p>
            <w:r>
              <w:rPr>
                <w:b w:val="false"/>
                <w:bCs w:val="false"/>
                <w:sz w:val="16"/>
                <w:szCs w:val="16"/>
              </w:rPr>
              <w:t xml:space="preserve">Bacteria</w:t>
            </w:r>
          </w:p>
        </w:tc>
        <w:tc>
          <w:tcPr>
            <w:tcW w:type="dxa" w:w="2900"/>
            <w:shd w:fill="FFFFFF" w:val="clear"/>
          </w:tcPr>
          <w:p>
            <w:r>
              <w:rPr>
                <w:b w:val="false"/>
                <w:bCs w:val="false"/>
                <w:sz w:val="16"/>
                <w:szCs w:val="16"/>
              </w:rPr>
              <w:t xml:space="preserve">M8 : Surveillance simple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64</w:t>
            </w:r>
          </w:p>
        </w:tc>
        <w:tc>
          <w:tcPr>
            <w:tcW w:type="dxa" w:w="2900"/>
          </w:tcPr>
          <w:p>
            <w:r>
              <w:rPr>
                <w:b w:val="false"/>
                <w:bCs w:val="false"/>
                <w:sz w:val="16"/>
                <w:szCs w:val="16"/>
              </w:rPr>
              <w:t xml:space="preserve">Tick-borne encephalitis</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65</w:t>
            </w:r>
          </w:p>
        </w:tc>
        <w:tc>
          <w:tcPr>
            <w:tcW w:type="dxa" w:w="2900"/>
          </w:tcPr>
          <w:p>
            <w:r>
              <w:rPr>
                <w:b w:val="false"/>
                <w:bCs w:val="false"/>
                <w:sz w:val="16"/>
                <w:szCs w:val="16"/>
              </w:rPr>
              <w:t xml:space="preserve">Toxoplasmosis, congenital</w:t>
            </w:r>
          </w:p>
        </w:tc>
        <w:tc>
          <w:tcPr>
            <w:tcW w:type="dxa" w:w="1300"/>
          </w:tcPr>
          <w:p>
            <w:r>
              <w:rPr>
                <w:b w:val="false"/>
                <w:bCs w:val="false"/>
                <w:sz w:val="16"/>
                <w:szCs w:val="16"/>
              </w:rPr>
              <w:t xml:space="preserve">Parasite (protozoan)</w:t>
            </w:r>
          </w:p>
        </w:tc>
        <w:tc>
          <w:tcPr>
            <w:tcW w:type="dxa" w:w="2900"/>
            <w:shd w:fill="F2F2F2" w:val="clear"/>
          </w:tcPr>
          <w:p>
            <w:r>
              <w:rPr>
                <w:b w:val="false"/>
                <w:bCs w:val="false"/>
                <w:sz w:val="16"/>
                <w:szCs w:val="16"/>
              </w:rPr>
              <w:t xml:space="preserve">M7 : Congénital (dérivé)</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66</w:t>
            </w:r>
          </w:p>
        </w:tc>
        <w:tc>
          <w:tcPr>
            <w:tcW w:type="dxa" w:w="2900"/>
          </w:tcPr>
          <w:p>
            <w:r>
              <w:rPr>
                <w:b w:val="false"/>
                <w:bCs w:val="false"/>
                <w:sz w:val="16"/>
                <w:szCs w:val="16"/>
              </w:rPr>
              <w:t xml:space="preserve">Trichinellosis</w:t>
            </w:r>
          </w:p>
        </w:tc>
        <w:tc>
          <w:tcPr>
            <w:tcW w:type="dxa" w:w="1300"/>
          </w:tcPr>
          <w:p>
            <w:r>
              <w:rPr>
                <w:b w:val="false"/>
                <w:bCs w:val="false"/>
                <w:sz w:val="16"/>
                <w:szCs w:val="16"/>
              </w:rPr>
              <w:t xml:space="preserve">Parasite (helminth)</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67</w:t>
            </w:r>
          </w:p>
        </w:tc>
        <w:tc>
          <w:tcPr>
            <w:tcW w:type="dxa" w:w="2900"/>
          </w:tcPr>
          <w:p>
            <w:r>
              <w:rPr>
                <w:b w:val="false"/>
                <w:bCs w:val="false"/>
                <w:sz w:val="16"/>
                <w:szCs w:val="16"/>
              </w:rPr>
              <w:t xml:space="preserve">Tuberculosis (multidrug-resistant)</w:t>
            </w:r>
          </w:p>
        </w:tc>
        <w:tc>
          <w:tcPr>
            <w:tcW w:type="dxa" w:w="1300"/>
          </w:tcPr>
          <w:p>
            <w:r>
              <w:rPr>
                <w:b w:val="false"/>
                <w:bCs w:val="false"/>
                <w:sz w:val="16"/>
                <w:szCs w:val="16"/>
              </w:rPr>
              <w:t xml:space="preserve">Bacteria</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P2 : autres respiratoires à transmission interhumaine</w:t>
            </w:r>
          </w:p>
        </w:tc>
      </w:tr>
      <w:tr>
        <w:tc>
          <w:tcPr>
            <w:tcW w:type="dxa" w:w="500"/>
          </w:tcPr>
          <w:p>
            <w:r>
              <w:rPr>
                <w:b w:val="false"/>
                <w:bCs w:val="false"/>
                <w:sz w:val="16"/>
                <w:szCs w:val="16"/>
              </w:rPr>
              <w:t xml:space="preserve">68</w:t>
            </w:r>
          </w:p>
        </w:tc>
        <w:tc>
          <w:tcPr>
            <w:tcW w:type="dxa" w:w="2900"/>
          </w:tcPr>
          <w:p>
            <w:r>
              <w:rPr>
                <w:b w:val="false"/>
                <w:bCs w:val="false"/>
                <w:sz w:val="16"/>
                <w:szCs w:val="16"/>
              </w:rPr>
              <w:t xml:space="preserve">Tularaemia</w:t>
            </w:r>
          </w:p>
        </w:tc>
        <w:tc>
          <w:tcPr>
            <w:tcW w:type="dxa" w:w="1300"/>
          </w:tcPr>
          <w:p>
            <w:r>
              <w:rPr>
                <w:b w:val="false"/>
                <w:bCs w:val="false"/>
                <w:sz w:val="16"/>
                <w:szCs w:val="16"/>
              </w:rPr>
              <w:t xml:space="preserve">Bacteria</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69</w:t>
            </w:r>
          </w:p>
        </w:tc>
        <w:tc>
          <w:tcPr>
            <w:tcW w:type="dxa" w:w="2900"/>
          </w:tcPr>
          <w:p>
            <w:r>
              <w:rPr>
                <w:b w:val="false"/>
                <w:bCs w:val="false"/>
                <w:sz w:val="16"/>
                <w:szCs w:val="16"/>
              </w:rPr>
              <w:t xml:space="preserve">Typhoid and paratyphoid fevers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70</w:t>
            </w:r>
          </w:p>
        </w:tc>
        <w:tc>
          <w:tcPr>
            <w:tcW w:type="dxa" w:w="2900"/>
          </w:tcPr>
          <w:p>
            <w:r>
              <w:rPr>
                <w:b w:val="false"/>
                <w:bCs w:val="false"/>
                <w:sz w:val="16"/>
                <w:szCs w:val="16"/>
              </w:rPr>
              <w:t xml:space="preserve">Vancomycin-Resistant Staphylococcus aureus infections</w:t>
            </w:r>
          </w:p>
        </w:tc>
        <w:tc>
          <w:tcPr>
            <w:tcW w:type="dxa" w:w="1300"/>
          </w:tcPr>
          <w:p>
            <w:r>
              <w:rPr>
                <w:b w:val="false"/>
                <w:bCs w:val="false"/>
                <w:sz w:val="16"/>
                <w:szCs w:val="16"/>
              </w:rPr>
              <w:t xml:space="preserve">Bacteria</w:t>
            </w:r>
          </w:p>
        </w:tc>
        <w:tc>
          <w:tcPr>
            <w:tcW w:type="dxa" w:w="2900"/>
            <w:shd w:fill="E4DFEC" w:val="clear"/>
          </w:tcPr>
          <w:p>
            <w:r>
              <w:rPr>
                <w:b w:val="false"/>
                <w:bCs w:val="false"/>
                <w:sz w:val="16"/>
                <w:szCs w:val="16"/>
              </w:rPr>
              <w:t xml:space="preserve">M6 : Nosocomial / résistance antimicrobienne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71</w:t>
            </w:r>
          </w:p>
        </w:tc>
        <w:tc>
          <w:tcPr>
            <w:tcW w:type="dxa" w:w="2900"/>
          </w:tcPr>
          <w:p>
            <w:r>
              <w:rPr>
                <w:b w:val="false"/>
                <w:bCs w:val="false"/>
                <w:sz w:val="16"/>
                <w:szCs w:val="16"/>
              </w:rPr>
              <w:t xml:space="preserve">Viral haemorrhagic fevers</w:t>
            </w:r>
          </w:p>
        </w:tc>
        <w:tc>
          <w:tcPr>
            <w:tcW w:type="dxa" w:w="1300"/>
          </w:tcPr>
          <w:p>
            <w:r>
              <w:rPr>
                <w:b w:val="false"/>
                <w:bCs w:val="false"/>
                <w:sz w:val="16"/>
                <w:szCs w:val="16"/>
              </w:rPr>
              <w:t xml:space="preserve">Virus</w:t>
            </w:r>
          </w:p>
        </w:tc>
        <w:tc>
          <w:tcPr>
            <w:tcW w:type="dxa" w:w="2900"/>
            <w:shd w:fill="FFF2CC" w:val="clear"/>
          </w:tcPr>
          <w:p>
            <w:r>
              <w:rPr>
                <w:b w:val="false"/>
                <w:bCs w:val="false"/>
                <w:sz w:val="16"/>
                <w:szCs w:val="16"/>
              </w:rPr>
              <w:t xml:space="preserve">M3 : Spillover zoonotique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72</w:t>
            </w:r>
          </w:p>
        </w:tc>
        <w:tc>
          <w:tcPr>
            <w:tcW w:type="dxa" w:w="2900"/>
          </w:tcPr>
          <w:p>
            <w:r>
              <w:rPr>
                <w:b w:val="false"/>
                <w:bCs w:val="false"/>
                <w:sz w:val="16"/>
                <w:szCs w:val="16"/>
              </w:rPr>
              <w:t xml:space="preserve">West Nile virus infection</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73</w:t>
            </w:r>
          </w:p>
        </w:tc>
        <w:tc>
          <w:tcPr>
            <w:tcW w:type="dxa" w:w="2900"/>
          </w:tcPr>
          <w:p>
            <w:r>
              <w:rPr>
                <w:b w:val="false"/>
                <w:bCs w:val="false"/>
                <w:sz w:val="16"/>
                <w:szCs w:val="16"/>
              </w:rPr>
              <w:t xml:space="preserve">Yellow fever</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74</w:t>
            </w:r>
          </w:p>
        </w:tc>
        <w:tc>
          <w:tcPr>
            <w:tcW w:type="dxa" w:w="2900"/>
          </w:tcPr>
          <w:p>
            <w:r>
              <w:rPr>
                <w:b w:val="false"/>
                <w:bCs w:val="false"/>
                <w:sz w:val="16"/>
                <w:szCs w:val="16"/>
              </w:rPr>
              <w:t xml:space="preserve">Yersinosis</w:t>
            </w:r>
          </w:p>
        </w:tc>
        <w:tc>
          <w:tcPr>
            <w:tcW w:type="dxa" w:w="1300"/>
          </w:tcPr>
          <w:p>
            <w:r>
              <w:rPr>
                <w:b w:val="false"/>
                <w:bCs w:val="false"/>
                <w:sz w:val="16"/>
                <w:szCs w:val="16"/>
              </w:rPr>
              <w:t xml:space="preserve">Bacteria</w:t>
            </w:r>
          </w:p>
        </w:tc>
        <w:tc>
          <w:tcPr>
            <w:tcW w:type="dxa" w:w="2900"/>
            <w:shd w:fill="FCE4D6" w:val="clear"/>
          </w:tcPr>
          <w:p>
            <w:r>
              <w:rPr>
                <w:b w:val="false"/>
                <w:bCs w:val="false"/>
                <w:sz w:val="16"/>
                <w:szCs w:val="16"/>
              </w:rPr>
              <w:t xml:space="preserve">M4 : Source commune / exposition environnementale</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75</w:t>
            </w:r>
          </w:p>
        </w:tc>
        <w:tc>
          <w:tcPr>
            <w:tcW w:type="dxa" w:w="2900"/>
          </w:tcPr>
          <w:p>
            <w:r>
              <w:rPr>
                <w:b w:val="false"/>
                <w:bCs w:val="false"/>
                <w:sz w:val="16"/>
                <w:szCs w:val="16"/>
              </w:rPr>
              <w:t xml:space="preserve">Zika virus disease</w:t>
            </w:r>
          </w:p>
        </w:tc>
        <w:tc>
          <w:tcPr>
            <w:tcW w:type="dxa" w:w="1300"/>
          </w:tcPr>
          <w:p>
            <w:r>
              <w:rPr>
                <w:b w:val="false"/>
                <w:bCs w:val="false"/>
                <w:sz w:val="16"/>
                <w:szCs w:val="16"/>
              </w:rPr>
              <w:t xml:space="preserve">Virus</w:t>
            </w:r>
          </w:p>
        </w:tc>
        <w:tc>
          <w:tcPr>
            <w:tcW w:type="dxa" w:w="2900"/>
            <w:shd w:fill="E2EFDA" w:val="clear"/>
          </w:tcPr>
          <w:p>
            <w:r>
              <w:rPr>
                <w:b w:val="false"/>
                <w:bCs w:val="false"/>
                <w:sz w:val="16"/>
                <w:szCs w:val="16"/>
              </w:rPr>
              <w:t xml:space="preserve">M2 : Vectoriel (hôte-vecteur)</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76</w:t>
            </w:r>
          </w:p>
        </w:tc>
        <w:tc>
          <w:tcPr>
            <w:tcW w:type="dxa" w:w="2900"/>
          </w:tcPr>
          <w:p>
            <w:r>
              <w:rPr>
                <w:b w:val="false"/>
                <w:bCs w:val="false"/>
                <w:sz w:val="16"/>
                <w:szCs w:val="16"/>
              </w:rPr>
              <w:t xml:space="preserve">Zika virus disease, congenital</w:t>
            </w:r>
          </w:p>
        </w:tc>
        <w:tc>
          <w:tcPr>
            <w:tcW w:type="dxa" w:w="1300"/>
          </w:tcPr>
          <w:p>
            <w:r>
              <w:rPr>
                <w:b w:val="false"/>
                <w:bCs w:val="false"/>
                <w:sz w:val="16"/>
                <w:szCs w:val="16"/>
              </w:rPr>
              <w:t xml:space="preserve">Virus</w:t>
            </w:r>
          </w:p>
        </w:tc>
        <w:tc>
          <w:tcPr>
            <w:tcW w:type="dxa" w:w="2900"/>
            <w:shd w:fill="F2F2F2" w:val="clear"/>
          </w:tcPr>
          <w:p>
            <w:r>
              <w:rPr>
                <w:b w:val="false"/>
                <w:bCs w:val="false"/>
                <w:sz w:val="16"/>
                <w:szCs w:val="16"/>
              </w:rPr>
              <w:t xml:space="preserve">M7 : Congénital (dérivé)</w:t>
            </w:r>
          </w:p>
        </w:tc>
        <w:tc>
          <w:tcPr>
            <w:tcW w:type="dxa" w:w="2900"/>
          </w:tcPr>
          <w:p>
            <w:r>
              <w:rPr>
                <w:b w:val="false"/>
                <w:bCs w:val="false"/>
                <w:sz w:val="16"/>
                <w:szCs w:val="16"/>
              </w:rPr>
              <w:t xml:space="preserve">Hors périmètre respiratoire</w:t>
            </w:r>
          </w:p>
        </w:tc>
      </w:tr>
      <w:tr>
        <w:tc>
          <w:tcPr>
            <w:tcW w:type="dxa" w:w="500"/>
          </w:tcPr>
          <w:p>
            <w:r>
              <w:rPr>
                <w:b w:val="false"/>
                <w:bCs w:val="false"/>
                <w:sz w:val="16"/>
                <w:szCs w:val="16"/>
              </w:rPr>
              <w:t xml:space="preserve">77</w:t>
            </w:r>
          </w:p>
        </w:tc>
        <w:tc>
          <w:tcPr>
            <w:tcW w:type="dxa" w:w="2900"/>
          </w:tcPr>
          <w:p>
            <w:r>
              <w:rPr>
                <w:b w:val="false"/>
                <w:bCs w:val="false"/>
                <w:sz w:val="16"/>
                <w:szCs w:val="16"/>
              </w:rPr>
              <w:t xml:space="preserve">Respiratory syncytial virus (RSV) infection</w:t>
            </w:r>
          </w:p>
        </w:tc>
        <w:tc>
          <w:tcPr>
            <w:tcW w:type="dxa" w:w="1300"/>
          </w:tcPr>
          <w:p>
            <w:r>
              <w:rPr>
                <w:b w:val="false"/>
                <w:bCs w:val="false"/>
                <w:sz w:val="16"/>
                <w:szCs w:val="16"/>
              </w:rPr>
              <w:t xml:space="preserve">Virus</w:t>
            </w:r>
          </w:p>
        </w:tc>
        <w:tc>
          <w:tcPr>
            <w:tcW w:type="dxa" w:w="2900"/>
            <w:shd w:fill="DEEAF6" w:val="clear"/>
          </w:tcPr>
          <w:p>
            <w:r>
              <w:rPr>
                <w:b w:val="false"/>
                <w:bCs w:val="false"/>
                <w:sz w:val="16"/>
                <w:szCs w:val="16"/>
              </w:rPr>
              <w:t xml:space="preserve">M1 : SEIR interhumain</w:t>
            </w:r>
          </w:p>
        </w:tc>
        <w:tc>
          <w:tcPr>
            <w:tcW w:type="dxa" w:w="2900"/>
          </w:tcPr>
          <w:p>
            <w:r>
              <w:rPr>
                <w:b w:val="false"/>
                <w:bCs w:val="false"/>
                <w:sz w:val="16"/>
                <w:szCs w:val="16"/>
              </w:rPr>
              <w:t xml:space="preserve">P1 : surveillance multicanal à haute fréquence</w:t>
            </w:r>
          </w:p>
        </w:tc>
      </w:tr>
    </w:tbl>
    <w:p>
      <w:r>
        <w:br w:type="page"/>
      </w:r>
    </w:p>
    <w:p>
      <w:pPr>
        <w:pStyle w:val="Heading1"/>
        <w:spacing w:after="160" w:before="320"/>
      </w:pPr>
      <w:r>
        <w:t xml:space="preserve">Références</w:t>
      </w:r>
    </w:p>
    <w:p>
      <w:pPr>
        <w:spacing w:after="120" w:line="260"/>
      </w:pPr>
      <w:r>
        <w:rPr>
          <w:b/>
          <w:bCs/>
        </w:rPr>
        <w:t xml:space="preserve">1. </w:t>
      </w:r>
      <w:r>
        <w:t xml:space="preserve">Commission européenne. Décision d'exécution (UE) 2018/945 relative aux maladies transmissibles et aux problèmes sanitaires particuliers devant être couverts par la surveillance épidémiologique. Journal officiel de l'UE. 2018.</w:t>
      </w:r>
    </w:p>
    <w:p>
      <w:pPr>
        <w:spacing w:after="120" w:line="260"/>
      </w:pPr>
      <w:r>
        <w:rPr>
          <w:b/>
          <w:bCs/>
        </w:rPr>
        <w:t xml:space="preserve">2. </w:t>
      </w:r>
      <w:r>
        <w:t xml:space="preserve">Organisation mondiale de la santé. Prioritizing diseases for research and development in emergency contexts (R&amp;D Blueprint). Genève : OMS.</w:t>
      </w:r>
    </w:p>
    <w:p>
      <w:pPr>
        <w:spacing w:after="120" w:line="260"/>
      </w:pPr>
      <w:r>
        <w:rPr>
          <w:b/>
          <w:bCs/>
        </w:rPr>
        <w:t xml:space="preserve">3. </w:t>
      </w:r>
      <w:r>
        <w:t xml:space="preserve">Keeling MJ, Rohani P. Modeling Infectious Diseases in Humans and Animals. Princeton University Press; 2008.</w:t>
      </w:r>
    </w:p>
    <w:p>
      <w:pPr>
        <w:spacing w:after="120" w:line="260"/>
      </w:pPr>
      <w:r>
        <w:rPr>
          <w:b/>
          <w:bCs/>
        </w:rPr>
        <w:t xml:space="preserve">4. </w:t>
      </w:r>
      <w:r>
        <w:t xml:space="preserve">Anderson RM, May RM. Infectious Diseases of Humans: Dynamics and Control. Oxford University Press; 1991.</w:t>
      </w:r>
    </w:p>
    <w:p>
      <w:pPr>
        <w:spacing w:after="120" w:line="260"/>
      </w:pPr>
      <w:r>
        <w:rPr>
          <w:b/>
          <w:bCs/>
        </w:rPr>
        <w:t xml:space="preserve">5. </w:t>
      </w:r>
      <w:r>
        <w:t xml:space="preserve">Smith DL, Battle KE, Hay SI, Barker CM, Scott TW, McKenzie FE. Ross, Macdonald, and a theory for the dynamics and control of mosquito-transmitted pathogens. PLoS Pathog. 2012;8(4):e1002588.</w:t>
      </w:r>
    </w:p>
    <w:p>
      <w:pPr>
        <w:spacing w:after="120" w:line="260"/>
      </w:pPr>
      <w:r>
        <w:rPr>
          <w:b/>
          <w:bCs/>
        </w:rPr>
        <w:t xml:space="preserve">6. </w:t>
      </w:r>
      <w:r>
        <w:t xml:space="preserve">Lloyd-Smith JO, George D, Pepin KM, et al. Epidemic dynamics at the human-animal interface. Science. 2009;326(5958):1362-1367.</w:t>
      </w:r>
    </w:p>
    <w:p>
      <w:pPr>
        <w:spacing w:after="120" w:line="260"/>
      </w:pPr>
      <w:r>
        <w:rPr>
          <w:b/>
          <w:bCs/>
        </w:rPr>
        <w:t xml:space="preserve">7. </w:t>
      </w:r>
      <w:r>
        <w:t xml:space="preserve">Plowright RK, Parrish CR, McCallum H, et al. Pathways to zoonotic spillover. Nat Rev Microbiol. 2017;15(8):502-510.</w:t>
      </w:r>
    </w:p>
    <w:p>
      <w:pPr>
        <w:spacing w:after="120" w:line="260"/>
      </w:pPr>
      <w:r>
        <w:rPr>
          <w:b/>
          <w:bCs/>
        </w:rPr>
        <w:t xml:space="preserve">8. </w:t>
      </w:r>
      <w:r>
        <w:t xml:space="preserve">Farrington CP, Andrews NJ, Beale AD, Catchpole MA. A statistical algorithm for the early detection of outbreaks of infectious disease. J R Stat Soc Ser A. 1996;159(3):547-563.</w:t>
      </w:r>
    </w:p>
    <w:p>
      <w:pPr>
        <w:spacing w:after="120" w:line="260"/>
      </w:pPr>
      <w:r>
        <w:rPr>
          <w:b/>
          <w:bCs/>
        </w:rPr>
        <w:t xml:space="preserve">9. </w:t>
      </w:r>
      <w:r>
        <w:t xml:space="preserve">Tien JH, Earn DJD. Multiple transmission pathways and disease dynamics in a waterborne pathogen model. Bull Math Biol. 2010;72(6):1506-1533.</w:t>
      </w:r>
    </w:p>
    <w:p>
      <w:pPr>
        <w:spacing w:after="120" w:line="260"/>
      </w:pPr>
      <w:r>
        <w:rPr>
          <w:b/>
          <w:bCs/>
        </w:rPr>
        <w:t xml:space="preserve">10. </w:t>
      </w:r>
      <w:r>
        <w:t xml:space="preserve">Lipsitch M, Cohen T, Cooper B, et al. Transmission dynamics and control of severe acute respiratory syndrome. Science. 2003;300(5627):1966-1970.</w:t>
      </w:r>
    </w:p>
    <w:p>
      <w:pPr>
        <w:spacing w:after="120" w:line="260"/>
      </w:pPr>
      <w:r>
        <w:rPr>
          <w:b/>
          <w:bCs/>
        </w:rPr>
        <w:t xml:space="preserve">11. </w:t>
      </w:r>
      <w:r>
        <w:t xml:space="preserve">Blower SM, McLean AR, Porco TC, et al. The intrinsic transmission dynamics of tuberculosis epidemics. Nat Med. 1995;1(8):815-821.</w:t>
      </w:r>
    </w:p>
    <w:p>
      <w:pPr>
        <w:spacing w:after="120" w:line="260"/>
      </w:pPr>
      <w:r>
        <w:rPr>
          <w:b/>
          <w:bCs/>
        </w:rPr>
        <w:t xml:space="preserve">12. </w:t>
      </w:r>
      <w:r>
        <w:t xml:space="preserve">van Kleef E, Robotham JV, Jit M, Deeny SR, Edmunds WJ. Modelling the transmission of healthcare associated infections: a systematic review. BMC Infect Dis. 2013;13:294.</w:t>
      </w:r>
    </w:p>
    <w:p>
      <w:pPr>
        <w:spacing w:after="120" w:line="260"/>
      </w:pPr>
      <w:r>
        <w:rPr>
          <w:b/>
          <w:bCs/>
        </w:rPr>
        <w:t xml:space="preserve">13. </w:t>
      </w:r>
      <w:r>
        <w:t xml:space="preserve">Eames KTD, Keeling MJ. Modeling dynamic and network heterogeneities in the spread of sexually transmitted diseases. Proc Natl Acad Sci USA. 2002;99(20):13330-13335.</w:t>
      </w:r>
    </w:p>
    <w:p>
      <w:pPr>
        <w:spacing w:after="120" w:line="260"/>
      </w:pPr>
      <w:r>
        <w:rPr>
          <w:b/>
          <w:bCs/>
        </w:rPr>
        <w:t xml:space="preserve">14. </w:t>
      </w:r>
      <w:r>
        <w:t xml:space="preserve">Melnick JL. Poliovirus and other enteroviruses. In: Evans AS, Kaslow RA (eds). Viral Infections of Humans. Springer; 1997.</w:t>
      </w:r>
    </w:p>
    <w:p>
      <w:pPr>
        <w:spacing w:after="120" w:line="260"/>
      </w:pPr>
      <w:r>
        <w:rPr>
          <w:b/>
          <w:bCs/>
        </w:rPr>
        <w:t xml:space="preserve">15. </w:t>
      </w:r>
      <w:r>
        <w:t xml:space="preserve">Matteson DS, McLean MW, Woodard DB, Henderson SG. Forecasting emergency medical service call arrival rates. Ann Appl Stat. 2011;5(2B):1379-1406.</w:t>
      </w:r>
    </w:p>
    <w:p>
      <w:pPr>
        <w:spacing w:after="120" w:line="260"/>
      </w:pPr>
      <w:r>
        <w:rPr>
          <w:b/>
          <w:bCs/>
        </w:rPr>
        <w:t xml:space="preserve">16. </w:t>
      </w:r>
      <w:r>
        <w:t xml:space="preserve">Martin RJ, Mousavi R, Saydam C. Predicting emergency medical service call demand: A modern spatiotemporal machine learning approach. Oper Res Health Care. 2021;28:100285.</w:t>
      </w:r>
    </w:p>
    <w:p>
      <w:pPr>
        <w:spacing w:after="120" w:line="260"/>
      </w:pPr>
      <w:r>
        <w:rPr>
          <w:b/>
          <w:bCs/>
        </w:rPr>
        <w:t xml:space="preserve">17. </w:t>
      </w:r>
      <w:r>
        <w:t xml:space="preserve">Centers for Disease Control and Prevention. Symptoms of COVID-19. Atlanta (GA): CDC; 2025.</w:t>
      </w:r>
    </w:p>
    <w:p>
      <w:pPr>
        <w:spacing w:after="120" w:line="260"/>
      </w:pPr>
      <w:r>
        <w:rPr>
          <w:b/>
          <w:bCs/>
        </w:rPr>
        <w:t xml:space="preserve">18. </w:t>
      </w:r>
      <w:r>
        <w:t xml:space="preserve">European Centre for Disease Prevention and Control. EU case definitions. Stockholm: ECDC; 2025.</w:t>
      </w:r>
    </w:p>
    <w:p>
      <w:pPr>
        <w:spacing w:after="120" w:line="260"/>
      </w:pPr>
      <w:r>
        <w:rPr>
          <w:b/>
          <w:bCs/>
        </w:rPr>
        <w:t xml:space="preserve">19. </w:t>
      </w:r>
      <w:r>
        <w:t xml:space="preserve">Janagama SR, Strehlow MC, Rao RGV, Kohn MA, Newberry JA. Utility of prehospital call center ambulance dispatch data for COVID-19 cluster surveillance. Acad Emerg Med. 2022;29(12):1447-1452.</w:t>
      </w:r>
    </w:p>
    <w:p>
      <w:pPr>
        <w:spacing w:after="120" w:line="260"/>
      </w:pPr>
      <w:r>
        <w:rPr>
          <w:b/>
          <w:bCs/>
        </w:rPr>
        <w:t xml:space="preserve">20. </w:t>
      </w:r>
      <w:r>
        <w:t xml:space="preserve">Monge S, Duijster J, Kommer GJ, et al. Use of ambulance dispatch calls for surveillance of severe acute respiratory infections. Emerg Infect Dis. 2020;26(1):148-150.</w:t>
      </w:r>
    </w:p>
    <w:p>
      <w:pPr>
        <w:spacing w:after="120" w:line="260"/>
      </w:pPr>
      <w:r>
        <w:rPr>
          <w:b/>
          <w:bCs/>
        </w:rPr>
        <w:t xml:space="preserve">21. </w:t>
      </w:r>
      <w:r>
        <w:t xml:space="preserve">Sutton J, Shahtahmassebi G, Ribeiro HV, Hanley QS. Population density and spreading of COVID-19 in England and Wales. PLoS One. 2022;17(1):e0261725.</w:t>
      </w:r>
    </w:p>
    <w:p>
      <w:pPr>
        <w:spacing w:after="120" w:line="260"/>
      </w:pPr>
      <w:r>
        <w:rPr>
          <w:b/>
          <w:bCs/>
        </w:rPr>
        <w:t xml:space="preserve">22. </w:t>
      </w:r>
      <w:r>
        <w:t xml:space="preserve">République et canton de Genève, Office cantonal de la statistique. Statistiques cantonales : Les 45 communes genevoises. </w:t>
      </w:r>
      <w:hyperlink w:history="1" r:id="rIduqdhji424aareecihktzd">
        <w:r>
          <w:rPr>
            <w:rStyle w:val="Hyperlink"/>
          </w:rPr>
          <w:t xml:space="preserve">statistique.ge.ch</w:t>
        </w:r>
      </w:hyperlink>
    </w:p>
    <w:p>
      <w:pPr>
        <w:spacing w:after="120" w:line="260"/>
      </w:pPr>
      <w:r>
        <w:rPr>
          <w:b/>
          <w:bCs/>
        </w:rPr>
        <w:t xml:space="preserve">23. </w:t>
      </w:r>
      <w:r>
        <w:t xml:space="preserve">République et canton de Genève, OCEV-SABRA. Connaître la qualité de l'air à Genève. </w:t>
      </w:r>
      <w:hyperlink w:history="1" r:id="rId_x18qcjkrnguvb5h_v0kh">
        <w:r>
          <w:rPr>
            <w:rStyle w:val="Hyperlink"/>
          </w:rPr>
          <w:t xml:space="preserve">ge.ch</w:t>
        </w:r>
      </w:hyperlink>
    </w:p>
    <w:p>
      <w:pPr>
        <w:spacing w:after="120" w:line="260"/>
      </w:pPr>
      <w:r>
        <w:rPr>
          <w:b/>
          <w:bCs/>
        </w:rPr>
        <w:t xml:space="preserve">24. </w:t>
      </w:r>
      <w:r>
        <w:t xml:space="preserve">Peel JL, Tolbert PE, Klein M, et al. Ambient air pollution and respiratory emergency department visits. Epidemiology. 2005;16(2):164-174.</w:t>
      </w:r>
    </w:p>
    <w:p>
      <w:pPr>
        <w:spacing w:after="120" w:line="260"/>
      </w:pPr>
      <w:r>
        <w:rPr>
          <w:b/>
          <w:bCs/>
        </w:rPr>
        <w:t xml:space="preserve">25. </w:t>
      </w:r>
      <w:r>
        <w:t xml:space="preserve">Jackson C, Vynnycky E, Mangtani P. The relationship between school holidays and transmission of influenza in England and Wales. Am J Epidemiol. 2016;184(9):644-651.</w:t>
      </w:r>
    </w:p>
    <w:p>
      <w:pPr>
        <w:spacing w:after="120" w:line="260"/>
      </w:pPr>
      <w:r>
        <w:rPr>
          <w:b/>
          <w:bCs/>
        </w:rPr>
        <w:t xml:space="preserve">26. </w:t>
      </w:r>
      <w:r>
        <w:t xml:space="preserve">Shi T, McAllister DA, O'Brien KL, et al. Global, regional, and national disease burden estimates of acute lower respiratory infections due to RSV in young children. Lancet. 2017;390(10098):946-958.</w:t>
      </w:r>
    </w:p>
    <w:p>
      <w:pPr>
        <w:spacing w:after="120" w:line="260"/>
      </w:pPr>
      <w:r>
        <w:rPr>
          <w:b/>
          <w:bCs/>
        </w:rPr>
        <w:t xml:space="preserve">27. </w:t>
      </w:r>
      <w:r>
        <w:t xml:space="preserve">Office fédéral de la santé publique. Système de déclaration Sentinella. </w:t>
      </w:r>
      <w:hyperlink w:history="1" r:id="rIdsy0cvpscuz8uxtetqbzwk">
        <w:r>
          <w:rPr>
            <w:rStyle w:val="Hyperlink"/>
          </w:rPr>
          <w:t xml:space="preserve">bag.admin.ch</w:t>
        </w:r>
      </w:hyperlink>
    </w:p>
    <w:p>
      <w:pPr>
        <w:spacing w:after="120" w:line="260"/>
      </w:pPr>
      <w:r>
        <w:rPr>
          <w:b/>
          <w:bCs/>
        </w:rPr>
        <w:t xml:space="preserve">28. </w:t>
      </w:r>
      <w:r>
        <w:t xml:space="preserve">Office fédéral de la statistique. Statistique médicale des hôpitaux. </w:t>
      </w:r>
      <w:hyperlink w:history="1" r:id="rIdzaidn3js1ronjayjrt1th">
        <w:r>
          <w:rPr>
            <w:rStyle w:val="Hyperlink"/>
          </w:rPr>
          <w:t xml:space="preserve">bfs.admin.ch</w:t>
        </w:r>
      </w:hyperlink>
    </w:p>
    <w:p>
      <w:pPr>
        <w:spacing w:after="120" w:line="260"/>
      </w:pPr>
      <w:r>
        <w:rPr>
          <w:b/>
          <w:bCs/>
        </w:rPr>
        <w:t xml:space="preserve">29. </w:t>
      </w:r>
      <w:r>
        <w:t xml:space="preserve">SwissDRG SA. Relevé 2025 (données 2024) : SpiGes. </w:t>
      </w:r>
      <w:hyperlink w:history="1" r:id="rIdhrcoyml9f9wr8esjobn4a">
        <w:r>
          <w:rPr>
            <w:rStyle w:val="Hyperlink"/>
          </w:rPr>
          <w:t xml:space="preserve">swissdrg.org</w:t>
        </w:r>
      </w:hyperlink>
    </w:p>
    <w:p>
      <w:pPr>
        <w:spacing w:after="120" w:line="260"/>
      </w:pPr>
      <w:r>
        <w:rPr>
          <w:b/>
          <w:bCs/>
        </w:rPr>
        <w:t xml:space="preserve">30. </w:t>
      </w:r>
      <w:r>
        <w:t xml:space="preserve">Office fédéral de la santé publique. Chiffres-clés des hôpitaux suisses 2023. opendata.swiss. </w:t>
      </w:r>
      <w:hyperlink w:history="1" r:id="rIdqc1dejqh9giyjzmcq_fma">
        <w:r>
          <w:rPr>
            <w:rStyle w:val="Hyperlink"/>
          </w:rPr>
          <w:t xml:space="preserve">opendata.swiss</w:t>
        </w:r>
      </w:hyperlink>
    </w:p>
    <w:p>
      <w:pPr>
        <w:spacing w:after="120" w:line="260"/>
      </w:pPr>
      <w:r>
        <w:rPr>
          <w:b/>
          <w:bCs/>
        </w:rPr>
        <w:t xml:space="preserve">31. </w:t>
      </w:r>
      <w:r>
        <w:t xml:space="preserve">MeteoSwiss / opendata.swiss. Automatic weather stations: measurement values. </w:t>
      </w:r>
      <w:hyperlink w:history="1" r:id="rIduvz7xm2luxfnwbik6z1ca">
        <w:r>
          <w:rPr>
            <w:rStyle w:val="Hyperlink"/>
          </w:rPr>
          <w:t xml:space="preserve">opendata.swiss</w:t>
        </w:r>
      </w:hyperlink>
    </w:p>
    <w:p>
      <w:pPr>
        <w:spacing w:after="120" w:line="260"/>
      </w:pPr>
      <w:r>
        <w:rPr>
          <w:b/>
          <w:bCs/>
        </w:rPr>
        <w:t xml:space="preserve">32. </w:t>
      </w:r>
      <w:r>
        <w:t xml:space="preserve">Panczak R, Galobardes B, Voorpostel M, Spoerri A, Zwahlen M, Egger M. A Swiss neighbourhood index of socioeconomic position: development and association with mortality. J Epidemiol Community Health. 2012;66(12):1129-1136.</w:t>
      </w:r>
    </w:p>
    <w:p>
      <w:pPr>
        <w:spacing w:after="120" w:line="260"/>
      </w:pPr>
      <w:r>
        <w:rPr>
          <w:b/>
          <w:bCs/>
        </w:rPr>
        <w:t xml:space="preserve">33. </w:t>
      </w:r>
      <w:r>
        <w:t xml:space="preserve">Office fédéral de la santé publique. Surveillance des eaux usées. </w:t>
      </w:r>
      <w:hyperlink w:history="1" r:id="rIdxd5v3t2g1jozgvbsxdfr3">
        <w:r>
          <w:rPr>
            <w:rStyle w:val="Hyperlink"/>
          </w:rPr>
          <w:t xml:space="preserve">bag.admin.ch</w:t>
        </w:r>
      </w:hyperlink>
    </w:p>
    <w:p>
      <w:pPr>
        <w:spacing w:after="120" w:line="260"/>
      </w:pPr>
      <w:r>
        <w:rPr>
          <w:b/>
          <w:bCs/>
        </w:rPr>
        <w:t xml:space="preserve">34. </w:t>
      </w:r>
      <w:r>
        <w:t xml:space="preserve">Eawag. La continuité de surveillance des eaux usées est assurée. Dübendorf; 2026. </w:t>
      </w:r>
      <w:hyperlink w:history="1" r:id="rId1orhpg1sau2-zjt2vkfht">
        <w:r>
          <w:rPr>
            <w:rStyle w:val="Hyperlink"/>
          </w:rPr>
          <w:t xml:space="preserve">eawag.ch</w:t>
        </w:r>
      </w:hyperlink>
    </w:p>
    <w:p>
      <w:pPr>
        <w:spacing w:after="120" w:line="260"/>
      </w:pPr>
      <w:r>
        <w:rPr>
          <w:b/>
          <w:bCs/>
        </w:rPr>
        <w:t xml:space="preserve">35. </w:t>
      </w:r>
      <w:r>
        <w:t xml:space="preserve">Eawag. Suivi du SARS-CoV-2 dans les eaux usées : projet AbwasSARS-CoV-2. </w:t>
      </w:r>
      <w:hyperlink w:history="1" r:id="rIdakaz_ekm6ap-m7v_ldtll">
        <w:r>
          <w:rPr>
            <w:rStyle w:val="Hyperlink"/>
          </w:rPr>
          <w:t xml:space="preserve">eawag.ch</w:t>
        </w:r>
      </w:hyperlink>
    </w:p>
    <w:p>
      <w:pPr>
        <w:spacing w:after="120" w:line="260"/>
      </w:pPr>
      <w:r>
        <w:rPr>
          <w:b/>
          <w:bCs/>
        </w:rPr>
        <w:t xml:space="preserve">36. </w:t>
      </w:r>
      <w:r>
        <w:t xml:space="preserve">Baumgartner S, Salvisberg M, Schmidhalter P, Julian TR, Ort C, Singer H. Insights into respiratory illness at the population level through parallel analysis of pharmaceutical and viral markers in wastewater. Nat Water. 2025;3(5):580-589.</w:t>
      </w:r>
    </w:p>
    <w:p>
      <w:pPr>
        <w:spacing w:after="120" w:line="260"/>
      </w:pPr>
      <w:r>
        <w:rPr>
          <w:b/>
          <w:bCs/>
        </w:rPr>
        <w:t xml:space="preserve">37. </w:t>
      </w:r>
      <w:r>
        <w:t xml:space="preserve">CIIP. Agenda : Vacances scolaires. </w:t>
      </w:r>
      <w:hyperlink w:history="1" r:id="rIdzgq3eaqvzu0p__gt2cfun">
        <w:r>
          <w:rPr>
            <w:rStyle w:val="Hyperlink"/>
          </w:rPr>
          <w:t xml:space="preserve">portail.ciip.ch</w:t>
        </w:r>
      </w:hyperlink>
    </w:p>
    <w:p>
      <w:pPr>
        <w:spacing w:after="120" w:line="260"/>
      </w:pPr>
      <w:r>
        <w:rPr>
          <w:b/>
          <w:bCs/>
        </w:rPr>
        <w:t xml:space="preserve">38. </w:t>
      </w:r>
      <w:r>
        <w:t xml:space="preserve">Hôpitaux universitaires de Genève. Unité Urgences Santé (144). </w:t>
      </w:r>
      <w:hyperlink w:history="1" r:id="rId2kwp6ny9cpd--g_rmjbk9">
        <w:r>
          <w:rPr>
            <w:rStyle w:val="Hyperlink"/>
          </w:rPr>
          <w:t xml:space="preserve">hug.ch</w:t>
        </w:r>
      </w:hyperlink>
    </w:p>
    <w:p>
      <w:pPr>
        <w:spacing w:after="120" w:line="260"/>
      </w:pPr>
      <w:r>
        <w:rPr>
          <w:b/>
          <w:bCs/>
        </w:rPr>
        <w:t xml:space="preserve">39. </w:t>
      </w:r>
      <w:r>
        <w:t xml:space="preserve">État de Vaud. Fondation Urgences Santé : rattachement des centrales d'appel. </w:t>
      </w:r>
      <w:hyperlink w:history="1" r:id="rId7e4wptiq2ol4i5o8godqj">
        <w:r>
          <w:rPr>
            <w:rStyle w:val="Hyperlink"/>
          </w:rPr>
          <w:t xml:space="preserve">vd.ch</w:t>
        </w:r>
      </w:hyperlink>
    </w:p>
    <w:p>
      <w:pPr>
        <w:spacing w:after="120" w:line="260"/>
      </w:pPr>
      <w:r>
        <w:rPr>
          <w:b/>
          <w:bCs/>
        </w:rPr>
        <w:t xml:space="preserve">40. </w:t>
      </w:r>
      <w:r>
        <w:t xml:space="preserve">République et canton de Genève. Légionellose : infos pour les professionnels de la santé. </w:t>
      </w:r>
      <w:hyperlink w:history="1" r:id="rIdm4wino7ysjynjxtv5wyq6">
        <w:r>
          <w:rPr>
            <w:rStyle w:val="Hyperlink"/>
          </w:rPr>
          <w:t xml:space="preserve">ge.ch</w:t>
        </w:r>
      </w:hyperlink>
    </w:p>
    <w:p>
      <w:pPr>
        <w:spacing w:after="120" w:line="260"/>
      </w:pPr>
      <w:r>
        <w:rPr>
          <w:b/>
          <w:bCs/>
        </w:rPr>
        <w:t xml:space="preserve">41. </w:t>
      </w:r>
      <w:r>
        <w:t xml:space="preserve">État de Vaud. Qualité de l'air : données et réseau (Vaud'Air). </w:t>
      </w:r>
      <w:hyperlink w:history="1" r:id="rIdtv-8ikmvxnpbjbsfuao7k">
        <w:r>
          <w:rPr>
            <w:rStyle w:val="Hyperlink"/>
          </w:rPr>
          <w:t xml:space="preserve">vd.ch</w:t>
        </w:r>
      </w:hyperlink>
    </w:p>
    <w:p>
      <w:pPr>
        <w:spacing w:after="120" w:line="260"/>
      </w:pPr>
      <w:r>
        <w:rPr>
          <w:b/>
          <w:bCs/>
        </w:rPr>
        <w:t xml:space="preserve">42. </w:t>
      </w:r>
      <w:r>
        <w:t xml:space="preserve">État de Vaud, Statistique Vaud. 01. Population. </w:t>
      </w:r>
      <w:hyperlink w:history="1" r:id="rId7vgmmvhgv9jz4nhkuwzgw">
        <w:r>
          <w:rPr>
            <w:rStyle w:val="Hyperlink"/>
          </w:rPr>
          <w:t xml:space="preserve">vd.ch</w:t>
        </w:r>
      </w:hyperlink>
    </w:p>
    <w:p>
      <w:pPr>
        <w:spacing w:after="120" w:line="260"/>
      </w:pPr>
      <w:r>
        <w:rPr>
          <w:b/>
          <w:bCs/>
        </w:rPr>
        <w:t xml:space="preserve">43. </w:t>
      </w:r>
      <w:r>
        <w:t xml:space="preserve">Oliveira JF, Cerqueira-Silva T, Brito PAN, et al. Anticipating influenza-like illness outbreaks via syndromic surveillance using over-the-counter drug sales and primary health care data. npj Digit Public Health. 2026;1:10.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155C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ghr3taukeu7awro-mltb" Type="http://schemas.openxmlformats.org/officeDocument/2006/relationships/hyperlink" Target="https://www.hug.ch/urgences-adultes/unite-urgences-sante-144" TargetMode="External"/><Relationship Id="rIdskcbn31q-flejoi6u67qu" Type="http://schemas.openxmlformats.org/officeDocument/2006/relationships/hyperlink" Target="https://www.vd.ch/actualites/actualite/news/i-fondation-urgences-sante" TargetMode="External"/><Relationship Id="rIdsy1y3psbbgtahyljujjtw" Type="http://schemas.openxmlformats.org/officeDocument/2006/relationships/hyperlink" Target="https://www.ge.ch/legionellose/legionellose-infos-professionnels-sante" TargetMode="External"/><Relationship Id="rIdk_pothmy4fzmk7pkubfvm" Type="http://schemas.openxmlformats.org/officeDocument/2006/relationships/hyperlink" Target="https://www.bag.admin.ch/fr/systeme-de-declaration-sentinella" TargetMode="External"/><Relationship Id="rIdflspmelcni3-gkxyighcy" Type="http://schemas.openxmlformats.org/officeDocument/2006/relationships/hyperlink" Target="https://www.bfs.admin.ch/bfs/fr/home/statistiques/sante/enquetes/ms.html" TargetMode="External"/><Relationship Id="rIdvwkqua022bu3cl-x-erdj" Type="http://schemas.openxmlformats.org/officeDocument/2006/relationships/hyperlink" Target="https://www.swissdrg.org/fr/psychiatrie/releve-des-donnees/releve-2025-donnees-2024" TargetMode="External"/><Relationship Id="rIda7wtdcmp-eue0kxtirjka" Type="http://schemas.openxmlformats.org/officeDocument/2006/relationships/hyperlink" Target="https://opendata.swiss/fr/dataset/kennzahlen-der-schweizer-spitaler-2023" TargetMode="External"/><Relationship Id="rIdkfjo5kzpd-cr1ibm807t8" Type="http://schemas.openxmlformats.org/officeDocument/2006/relationships/hyperlink" Target="https://www.bag.admin.ch/fr/surveillance-des-eaux-usees" TargetMode="External"/><Relationship Id="rIdbywurmum9pqcipq3ak8xw" Type="http://schemas.openxmlformats.org/officeDocument/2006/relationships/hyperlink" Target="https://www.eawag.ch/fr/portail/dinfo/actualites/detail/la-continuite-de-surveillance-des-eaux-usees-est-assuree/" TargetMode="External"/><Relationship Id="rIdk0hvjvflyq5hj1zr6ptq2" Type="http://schemas.openxmlformats.org/officeDocument/2006/relationships/hyperlink" Target="https://www.eawag.ch/fr/recherche/humanite/eaux-usees/sars-cov-2/" TargetMode="External"/><Relationship Id="rIdcuymyjqiuwsirm_v56yah" Type="http://schemas.openxmlformats.org/officeDocument/2006/relationships/hyperlink" Target="https://www.ge.ch/connaitre-qualite-air-geneve" TargetMode="External"/><Relationship Id="rId1xuekbszav636zkyjbnlj" Type="http://schemas.openxmlformats.org/officeDocument/2006/relationships/hyperlink" Target="https://www.vd.ch/environnement/air/donnees-et-reseau" TargetMode="External"/><Relationship Id="rIdqkwabedqg006ttg-_atoq" Type="http://schemas.openxmlformats.org/officeDocument/2006/relationships/hyperlink" Target="https://opendata.swiss/en/dataset/automatische-wetterstationen-messwerte" TargetMode="External"/><Relationship Id="rId96t8jk3thixrusm2vpwvc" Type="http://schemas.openxmlformats.org/officeDocument/2006/relationships/hyperlink" Target="https://statistique.ge.ch/communes/welcome.asp" TargetMode="External"/><Relationship Id="rIdokiil2ozdwghchyibnu9j" Type="http://schemas.openxmlformats.org/officeDocument/2006/relationships/hyperlink" Target="https://www.vd.ch/etat-droit-finances/statistique/statistiques-par-domaine/01-population" TargetMode="External"/><Relationship Id="rIdhxmesihlw1at5rebm4mdk" Type="http://schemas.openxmlformats.org/officeDocument/2006/relationships/hyperlink" Target="https://pubmed.ncbi.nlm.nih.gov/22717282/" TargetMode="External"/><Relationship Id="rIdon2qv_f1qke04mmw7y5gy" Type="http://schemas.openxmlformats.org/officeDocument/2006/relationships/hyperlink" Target="https://portail.ciip.ch/agenda/holidays/293" TargetMode="External"/><Relationship Id="rIduqdhji424aareecihktzd" Type="http://schemas.openxmlformats.org/officeDocument/2006/relationships/hyperlink" Target="https://statistique.ge.ch/communes/welcome.asp" TargetMode="External"/><Relationship Id="rId_x18qcjkrnguvb5h_v0kh" Type="http://schemas.openxmlformats.org/officeDocument/2006/relationships/hyperlink" Target="https://www.ge.ch/connaitre-qualite-air-geneve" TargetMode="External"/><Relationship Id="rIdsy0cvpscuz8uxtetqbzwk" Type="http://schemas.openxmlformats.org/officeDocument/2006/relationships/hyperlink" Target="https://www.bag.admin.ch/fr/systeme-de-declaration-sentinella" TargetMode="External"/><Relationship Id="rIdzaidn3js1ronjayjrt1th" Type="http://schemas.openxmlformats.org/officeDocument/2006/relationships/hyperlink" Target="https://www.bfs.admin.ch/bfs/fr/home/statistiques/sante/enquetes/ms.html" TargetMode="External"/><Relationship Id="rIdhrcoyml9f9wr8esjobn4a" Type="http://schemas.openxmlformats.org/officeDocument/2006/relationships/hyperlink" Target="https://www.swissdrg.org/fr/psychiatrie/releve-des-donnees/releve-2025-donnees-2024" TargetMode="External"/><Relationship Id="rIdqc1dejqh9giyjzmcq_fma" Type="http://schemas.openxmlformats.org/officeDocument/2006/relationships/hyperlink" Target="https://opendata.swiss/fr/dataset/kennzahlen-der-schweizer-spitaler-2023" TargetMode="External"/><Relationship Id="rIduvz7xm2luxfnwbik6z1ca" Type="http://schemas.openxmlformats.org/officeDocument/2006/relationships/hyperlink" Target="https://opendata.swiss/en/dataset/automatische-wetterstationen-messwerte" TargetMode="External"/><Relationship Id="rIdxd5v3t2g1jozgvbsxdfr3" Type="http://schemas.openxmlformats.org/officeDocument/2006/relationships/hyperlink" Target="https://www.bag.admin.ch/fr/surveillance-des-eaux-usees" TargetMode="External"/><Relationship Id="rId1orhpg1sau2-zjt2vkfht" Type="http://schemas.openxmlformats.org/officeDocument/2006/relationships/hyperlink" Target="https://www.eawag.ch/fr/portail/dinfo/actualites/detail/la-continuite-de-surveillance-des-eaux-usees-est-assuree/" TargetMode="External"/><Relationship Id="rIdakaz_ekm6ap-m7v_ldtll" Type="http://schemas.openxmlformats.org/officeDocument/2006/relationships/hyperlink" Target="https://www.eawag.ch/fr/recherche/humanite/eaux-usees/sars-cov-2/" TargetMode="External"/><Relationship Id="rIdzgq3eaqvzu0p__gt2cfun" Type="http://schemas.openxmlformats.org/officeDocument/2006/relationships/hyperlink" Target="https://portail.ciip.ch/agenda/holidays/293" TargetMode="External"/><Relationship Id="rId2kwp6ny9cpd--g_rmjbk9" Type="http://schemas.openxmlformats.org/officeDocument/2006/relationships/hyperlink" Target="https://www.hug.ch/urgences-adultes/unite-urgences-sante-144" TargetMode="External"/><Relationship Id="rId7e4wptiq2ol4i5o8godqj" Type="http://schemas.openxmlformats.org/officeDocument/2006/relationships/hyperlink" Target="https://www.vd.ch/actualites/actualite/news/i-fondation-urgences-sante" TargetMode="External"/><Relationship Id="rIdm4wino7ysjynjxtv5wyq6" Type="http://schemas.openxmlformats.org/officeDocument/2006/relationships/hyperlink" Target="https://www.ge.ch/legionellose/legionellose-infos-professionnels-sante" TargetMode="External"/><Relationship Id="rIdtv-8ikmvxnpbjbsfuao7k" Type="http://schemas.openxmlformats.org/officeDocument/2006/relationships/hyperlink" Target="https://www.vd.ch/environnement/air/donnees-et-reseau" TargetMode="External"/><Relationship Id="rId7vgmmvhgv9jz4nhkuwzgw" Type="http://schemas.openxmlformats.org/officeDocument/2006/relationships/hyperlink" Target="https://www.vd.ch/etat-droit-finances/statistique/statistiques-par-domaine/01-population"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2026-08-18T15:29:46.237Z</dcterms:created>
  <dcterms:modified xsi:type="dcterms:W3CDTF">2026-08-18T15:29:46.254Z</dcterms:modified>
</cp:coreProperties>
</file>

<file path=docProps/custom.xml><?xml version="1.0" encoding="utf-8"?>
<Properties xmlns="http://schemas.openxmlformats.org/officeDocument/2006/custom-properties" xmlns:vt="http://schemas.openxmlformats.org/officeDocument/2006/docPropsVTypes"/>
</file>