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9e412844a451ea44c4ed4baa6cffab9f36f7c63"/>
    <w:p>
      <w:pPr>
        <w:pStyle w:val="Heading1"/>
      </w:pPr>
      <w:r>
        <w:t xml:space="preserve">Statement of mobility: draft v2 (30 September 2026)</w:t>
      </w:r>
    </w:p>
    <w:p>
      <w:pPr>
        <w:pStyle w:val="FirstParagraph"/>
      </w:pPr>
      <w:r>
        <w:rPr>
          <w:bCs/>
          <w:b/>
        </w:rPr>
        <w:t xml:space="preserve">The deliverable is the SNSF form</w:t>
      </w:r>
      <w:r>
        <w:t xml:space="preserve"> </w:t>
      </w:r>
      <w:r>
        <w:t xml:space="preserve">(five dimensions, downloaded from mySNF, filled in Adobe</w:t>
      </w:r>
      <w:r>
        <w:t xml:space="preserve"> </w:t>
      </w:r>
      <w:r>
        <w:t xml:space="preserve">Acrobat only). This draft is written</w:t>
      </w:r>
      <w:r>
        <w:t xml:space="preserve"> </w:t>
      </w:r>
      <w:r>
        <w:rPr>
          <w:bCs/>
          <w:b/>
        </w:rPr>
        <w:t xml:space="preserve">dimension by dimension in the form's own order</w:t>
      </w:r>
      <w:r>
        <w:t xml:space="preserve"> </w:t>
      </w:r>
      <w:r>
        <w:t xml:space="preserve">so each</w:t>
      </w:r>
      <w:r>
        <w:t xml:space="preserve"> </w:t>
      </w:r>
      <w:r>
        <w:t xml:space="preserve">block can be pasted into its field. Address prospective as well as retrospective mobility in each</w:t>
      </w:r>
      <w:r>
        <w:t xml:space="preserve"> </w:t>
      </w:r>
      <w:r>
        <w:t xml:space="preserve">dimension - Regulations Art. 9 §3 makes the prospective plan</w:t>
      </w:r>
      <w:r>
        <w:t xml:space="preserve"> </w:t>
      </w:r>
      <w:r>
        <w:rPr>
          <w:bCs/>
          <w:b/>
        </w:rPr>
        <w:t xml:space="preserve">mandatory</w:t>
      </w:r>
      <w:r>
        <w:t xml:space="preserve"> </w:t>
      </w:r>
      <w:r>
        <w:t xml:space="preserve">for an applicant</w:t>
      </w:r>
      <w:r>
        <w:t xml:space="preserve"> </w:t>
      </w:r>
      <w:r>
        <w:t xml:space="preserve">without a 12-month post-doctoral stay elsewhere, and Art. 9 §4(c) is the route taken: short</w:t>
      </w:r>
      <w:r>
        <w:t xml:space="preserve"> </w:t>
      </w:r>
      <w:r>
        <w:t xml:space="preserve">visits and international collaborations, no relocation.</w:t>
      </w:r>
    </w:p>
    <w:p>
      <w:pPr>
        <w:pStyle w:val="BodyText"/>
      </w:pPr>
      <w:r>
        <w:t xml:space="preserve">Settled and reflected here: eligibility confirmed (RGO); no research stay proposed; host = ISG</w:t>
      </w:r>
      <w:r>
        <w:t xml:space="preserve"> </w:t>
      </w:r>
      <w:r>
        <w:t xml:space="preserve">with an independent programme; the four institution-choice triggers argued under dimension 1;</w:t>
      </w:r>
      <w:r>
        <w:t xml:space="preserve"> </w:t>
      </w:r>
      <w:r>
        <w:t xml:space="preserve">intellectual mobility written as the SNSF defines it (communication beyond academia, not</w:t>
      </w:r>
      <w:r>
        <w:t xml:space="preserve"> </w:t>
      </w:r>
      <w:r>
        <w:t xml:space="preserve">intellectual range).</w:t>
      </w:r>
      <w:r>
        <w:t xml:space="preserve"> </w:t>
      </w:r>
      <w:r>
        <w:rPr>
          <w:rStyle w:val="VerbatimChar"/>
        </w:rPr>
        <w:t xml:space="preserve">[[…]]</w:t>
      </w:r>
      <w:r>
        <w:t xml:space="preserve"> </w:t>
      </w:r>
      <w:r>
        <w:t xml:space="preserve">marks the applicant's remaining inputs. Run</w:t>
      </w:r>
      <w:r>
        <w:t xml:space="preserve"> </w:t>
      </w:r>
      <w:r>
        <w:rPr>
          <w:rStyle w:val="VerbatimChar"/>
        </w:rPr>
        <w:t xml:space="preserve">sh 04-other-documents/charcount-mobility.sh</w:t>
      </w:r>
      <w:r>
        <w:t xml:space="preserve"> </w:t>
      </w:r>
      <w:r>
        <w:t xml:space="preserve">after edits; check the final length against the</w:t>
      </w:r>
      <w:r>
        <w:t xml:space="preserve"> </w:t>
      </w:r>
      <w:r>
        <w:t xml:space="preserve">form's field limits, which the form itself imposes.</w:t>
      </w:r>
    </w:p>
    <w:p>
      <w:r>
        <w:pict>
          <v:rect style="width:0;height:1.5pt" o:hralign="center" o:hrstd="t" o:hr="t"/>
        </w:pict>
      </w:r>
    </w:p>
    <w:bookmarkStart w:id="26" w:name="statement-of-mobility"/>
    <w:p>
      <w:pPr>
        <w:pStyle w:val="Heading2"/>
      </w:pPr>
      <w:r>
        <w:t xml:space="preserve">Statement of mobility</w:t>
      </w:r>
    </w:p>
    <w:p>
      <w:pPr>
        <w:pStyle w:val="FirstParagraph"/>
      </w:pPr>
      <w:r>
        <w:rPr>
          <w:bCs/>
          <w:b/>
        </w:rPr>
        <w:t xml:space="preserve">Erol Orel</w:t>
      </w:r>
      <w:r>
        <w:t xml:space="preserve"> </w:t>
      </w:r>
      <w:r>
        <w:t xml:space="preserve">· Ambizione 2026 · Host: Institute of Global Health, Faculty of Medicine,</w:t>
      </w:r>
      <w:r>
        <w:t xml:space="preserve"> </w:t>
      </w:r>
      <w:r>
        <w:t xml:space="preserve">University of Geneva</w:t>
      </w:r>
    </w:p>
    <w:bookmarkStart w:id="20" w:name="Xbd019a6ddd6a449614d0cda3beb829998fdbc20"/>
    <w:p>
      <w:pPr>
        <w:pStyle w:val="Heading3"/>
      </w:pPr>
      <w:r>
        <w:t xml:space="preserve">Opening remark (use in the form's general/first field, or dimension 1)</w:t>
      </w:r>
    </w:p>
    <w:p>
      <w:pPr>
        <w:pStyle w:val="FirstParagraph"/>
      </w:pPr>
      <w:r>
        <w:t xml:space="preserve">My degrees and my current position are at the University of Geneva, and the proposed host is the</w:t>
      </w:r>
      <w:r>
        <w:t xml:space="preserve"> </w:t>
      </w:r>
      <w:r>
        <w:t xml:space="preserve">institute where I work. I state this at the outset rather than leave it to be inferred, and I</w:t>
      </w:r>
      <w:r>
        <w:t xml:space="preserve"> </w:t>
      </w:r>
      <w:r>
        <w:t xml:space="preserve">address the choice directly below. My mobility case rests on a sectoral discontinuity most</w:t>
      </w:r>
      <w:r>
        <w:t xml:space="preserve"> </w:t>
      </w:r>
      <w:r>
        <w:t xml:space="preserve">careers do not contain, on international scientific networks built without relocation, and on a</w:t>
      </w:r>
      <w:r>
        <w:t xml:space="preserve"> </w:t>
      </w:r>
      <w:r>
        <w:t xml:space="preserve">concrete organisational change of position - not on a change of address, and not on invented</w:t>
      </w:r>
      <w:r>
        <w:t xml:space="preserve"> </w:t>
      </w:r>
      <w:r>
        <w:t xml:space="preserve">travel.</w:t>
      </w:r>
    </w:p>
    <w:bookmarkEnd w:id="20"/>
    <w:bookmarkStart w:id="21" w:name="X3e71227f0ed809cc6fbb9771ea315aad8e77c21"/>
    <w:p>
      <w:pPr>
        <w:pStyle w:val="Heading3"/>
      </w:pPr>
      <w:r>
        <w:t xml:space="preserve">1. Institutional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institutional trajectory runs across communities rather than cities. After</w:t>
      </w:r>
      <w:r>
        <w:t xml:space="preserve"> </w:t>
      </w:r>
      <w:r>
        <w:t xml:space="preserve">a master's in quantitative economics and a DEA in econometrics (2006, supervised by Prof. Eva</w:t>
      </w:r>
      <w:r>
        <w:t xml:space="preserve"> </w:t>
      </w:r>
      <w:r>
        <w:t xml:space="preserve">Cantoni), I spent fifteen years in the financial sector before joining the Institute of Global</w:t>
      </w:r>
      <w:r>
        <w:t xml:space="preserve"> </w:t>
      </w:r>
      <w:r>
        <w:t xml:space="preserve">Health in 2019 for a doctorate in biomedical sciences (defended December 2023). Since then I have</w:t>
      </w:r>
      <w:r>
        <w:t xml:space="preserve"> </w:t>
      </w:r>
      <w:r>
        <w:t xml:space="preserve">worked across institutional boundaries inside and beyond UNIGE: with the Data Science for Digital</w:t>
      </w:r>
      <w:r>
        <w:t xml:space="preserve"> </w:t>
      </w:r>
      <w:r>
        <w:t xml:space="preserve">Health group (Department of Radiology and Medical Informatics) on biomedical NLP; with HUG</w:t>
      </w:r>
      <w:r>
        <w:t xml:space="preserve"> </w:t>
      </w:r>
      <w:r>
        <w:t xml:space="preserve">emergency medicine and the CASU-144 on operational data and a joint systematic review; and with</w:t>
      </w:r>
      <w:r>
        <w:t xml:space="preserve"> </w:t>
      </w:r>
      <w:r>
        <w:t xml:space="preserve">the cantonal public-health services on the legionellosis study, for which I hold the data lead</w:t>
      </w:r>
      <w:r>
        <w:t xml:space="preserve"> </w:t>
      </w:r>
      <w:r>
        <w:t xml:space="preserve">under an ethics approval already granted (BASEC 2026-00324).</w:t>
      </w:r>
    </w:p>
    <w:p>
      <w:pPr>
        <w:pStyle w:val="BodyText"/>
      </w:pPr>
      <w:r>
        <w:rPr>
          <w:bCs/>
          <w:b/>
        </w:rPr>
        <w:t xml:space="preserve">The choice of host, stated plainly.</w:t>
      </w:r>
      <w:r>
        <w:t xml:space="preserve"> </w:t>
      </w:r>
      <w:r>
        <w:t xml:space="preserve">I have been at my present institution for more than a</w:t>
      </w:r>
      <w:r>
        <w:t xml:space="preserve"> </w:t>
      </w:r>
      <w:r>
        <w:t xml:space="preserve">year, I did my doctorate there, and it is the institution of my doctoral advisor - every reason</w:t>
      </w:r>
      <w:r>
        <w:t xml:space="preserve"> </w:t>
      </w:r>
      <w:r>
        <w:t xml:space="preserve">the guidelines give for motivating the choice carefully applies to me. The motivation is</w:t>
      </w:r>
      <w:r>
        <w:t xml:space="preserve"> </w:t>
      </w:r>
      <w:r>
        <w:t xml:space="preserve">concrete: the project's primary outcome series (CASU-144), the emergency-medicine partnerships,</w:t>
      </w:r>
      <w:r>
        <w:t xml:space="preserve"> </w:t>
      </w:r>
      <w:r>
        <w:t xml:space="preserve">the cantonal linkage under BASEC 2026-00324 and the evidence-extraction platform all live in</w:t>
      </w:r>
      <w:r>
        <w:t xml:space="preserve"> </w:t>
      </w:r>
      <w:r>
        <w:t xml:space="preserve">Geneva, and no other institution reproduces that combination. What changes is my</w:t>
      </w:r>
      <w:r>
        <w:t xml:space="preserve"> </w:t>
      </w:r>
      <w:r>
        <w:rPr>
          <w:bCs/>
          <w:b/>
        </w:rPr>
        <w:t xml:space="preserve">position</w:t>
      </w:r>
      <w:r>
        <w:t xml:space="preserve">:</w:t>
      </w:r>
      <w:r>
        <w:t xml:space="preserve"> </w:t>
      </w:r>
      <w:r>
        <w:t xml:space="preserve">Ambizione would establish an independent research programme that I lead, alongside the</w:t>
      </w:r>
      <w:r>
        <w:t xml:space="preserve"> </w:t>
      </w:r>
      <w:r>
        <w:t xml:space="preserve">Institute's existing groups rather than inside one, with my own ethics approvals, my own budget</w:t>
      </w:r>
      <w:r>
        <w:t xml:space="preserve"> </w:t>
      </w:r>
      <w:r>
        <w:t xml:space="preserve">authority and senior authorship - guaranteed in the host confirmation, which is signed at</w:t>
      </w:r>
      <w:r>
        <w:t xml:space="preserve"> </w:t>
      </w:r>
      <w:r>
        <w:t xml:space="preserve">institute level. The SNSF's own definition of institutional mobility includes collaborations</w:t>
      </w:r>
      <w:r>
        <w:t xml:space="preserve"> </w:t>
      </w:r>
      <w:r>
        <w:t xml:space="preserve">within the same institution that provide complementary expertise; that is precisely the</w:t>
      </w:r>
      <w:r>
        <w:t xml:space="preserve"> </w:t>
      </w:r>
      <w:r>
        <w:t xml:space="preserve">DS4DH–HUG–cantonal configuration this project assembles.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programme is designed to run across institutions from month 1: DS4DH for</w:t>
      </w:r>
      <w:r>
        <w:t xml:space="preserve"> </w:t>
      </w:r>
      <w:r>
        <w:t xml:space="preserve">extraction methodology, HUG and CASU-144 for operational data and threshold elicitation, and the</w:t>
      </w:r>
      <w:r>
        <w:t xml:space="preserve"> </w:t>
      </w:r>
      <w:r>
        <w:t xml:space="preserve">cantonal services for the waterborne extension.</w:t>
      </w:r>
    </w:p>
    <w:bookmarkEnd w:id="21"/>
    <w:bookmarkStart w:id="22" w:name="X139120a754062082925662445f10b95f5e07cda"/>
    <w:p>
      <w:pPr>
        <w:pStyle w:val="Heading3"/>
      </w:pPr>
      <w:r>
        <w:t xml:space="preserve">2. Transnational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networks are international although my address has not been. Doctoral work</w:t>
      </w:r>
      <w:r>
        <w:t xml:space="preserve"> </w:t>
      </w:r>
      <w:r>
        <w:t xml:space="preserve">on HIV prediction across East and Southern Africa; seroprevalence estimation in Cameroon (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 </w:t>
      </w:r>
      <w:r>
        <w:t xml:space="preserve">2021); contributions to WHO African Region epidemiological reporting during the</w:t>
      </w:r>
      <w:r>
        <w:t xml:space="preserve"> </w:t>
      </w:r>
      <w:r>
        <w:t xml:space="preserve">pandemic; since 2024 the Franco-Swiss Interreg consortium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(HUG as Swiss lead, CHUV,</w:t>
      </w:r>
      <w:r>
        <w:t xml:space="preserve"> </w:t>
      </w:r>
      <w:r>
        <w:t xml:space="preserve">University of Neuchâtel, HEIG-VD, Techwan, with French partners</w:t>
      </w:r>
      <w:r>
        <w:t xml:space="preserve"> </w:t>
      </w:r>
      <w:r>
        <w:rPr>
          <w:rStyle w:val="VerbatimChar"/>
        </w:rPr>
        <w:t xml:space="preserve">[[Université Marie et Louis Pasteur, HES-SO - confirm the list you cite]]</w:t>
      </w:r>
      <w:r>
        <w:t xml:space="preserve">); and from 2026 the Horizon Europe project</w:t>
      </w:r>
      <w:r>
        <w:t xml:space="preserve"> </w:t>
      </w:r>
      <w:r>
        <w:rPr>
          <w:bCs/>
          <w:b/>
        </w:rPr>
        <w:t xml:space="preserve">GeoAI4EI</w:t>
      </w:r>
      <w:r>
        <w:t xml:space="preserve">, a European epidemic-intelligence toolbox. The SNSF counts involvement in</w:t>
      </w:r>
      <w:r>
        <w:t xml:space="preserve"> </w:t>
      </w:r>
      <w:r>
        <w:t xml:space="preserve">border-crossing networks without active travel; both consortia are exactly that, with regular</w:t>
      </w:r>
      <w:r>
        <w:t xml:space="preserve"> </w:t>
      </w:r>
      <w:r>
        <w:t xml:space="preserve">cross-border working meetings.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Under the grant: continued Franco-Swiss collaboration through GESICA's</w:t>
      </w:r>
      <w:r>
        <w:t xml:space="preserve"> </w:t>
      </w:r>
      <w:r>
        <w:t xml:space="preserve">operational partners; participation in the GeoAI4EI consortium across</w:t>
      </w:r>
      <w:r>
        <w:t xml:space="preserve"> </w:t>
      </w:r>
      <w:r>
        <w:rPr>
          <w:rStyle w:val="VerbatimChar"/>
        </w:rPr>
        <w:t xml:space="preserve">[[member countries]]</w:t>
      </w:r>
      <w:r>
        <w:t xml:space="preserve">;</w:t>
      </w:r>
      <w:r>
        <w:t xml:space="preserve"> </w:t>
      </w:r>
      <w:r>
        <w:t xml:space="preserve">presentation of the confirmatory results at international conferences `[[name 2–3 target venues</w:t>
      </w:r>
    </w:p>
    <w:p>
      <w:pPr>
        <w:numPr>
          <w:ilvl w:val="0"/>
          <w:numId w:val="1001"/>
        </w:numPr>
        <w:pStyle w:val="Compact"/>
      </w:pPr>
      <w:r>
        <w:t xml:space="preserve">e.g. epidemic-forecasting and biostatistics conferences you actually attend]]</w:t>
      </w:r>
      <w:r>
        <w:rPr>
          <w:rStyle w:val="VerbatimChar"/>
        </w:rPr>
        <w:t xml:space="preserve">; and **2–3 short methodological visits** (days to weeks) to groups working on probabilistic forecast evaluation, nowcasting and Bayesian evidence borrowing </w:t>
      </w:r>
      <w:r>
        <w:t xml:space="preserve">[[name the groups and indicative years -</w:t>
      </w:r>
      <w:r>
        <w:t xml:space="preserve"> </w:t>
      </w:r>
      <w:r>
        <w:t xml:space="preserve">your decision; the regulations require concrete prospective content, not a list of</w:t>
      </w:r>
      <w:r>
        <w:t xml:space="preserve"> </w:t>
      </w:r>
      <w:r>
        <w:t xml:space="preserve">possibilities]]`. I will also</w:t>
      </w:r>
      <w:r>
        <w:t xml:space="preserve"> </w:t>
      </w:r>
      <w:r>
        <w:rPr>
          <w:bCs/>
          <w:b/>
        </w:rPr>
        <w:t xml:space="preserve">host visiting researchers in Geneva</w:t>
      </w:r>
      <w:r>
        <w:t xml:space="preserve">, so the exchange runs in</w:t>
      </w:r>
      <w:r>
        <w:t xml:space="preserve"> </w:t>
      </w:r>
      <w:r>
        <w:t xml:space="preserve">both directions: the project's benchmark, evidence-to-prior library and evaluation code are open</w:t>
      </w:r>
      <w:r>
        <w:t xml:space="preserve"> </w:t>
      </w:r>
      <w:r>
        <w:t xml:space="preserve">resources designed for exactly that use.</w:t>
      </w:r>
    </w:p>
    <w:bookmarkEnd w:id="22"/>
    <w:bookmarkStart w:id="23" w:name="X641551368ccd9bb35ff2495d1cf3e5258979b62"/>
    <w:p>
      <w:pPr>
        <w:pStyle w:val="Heading3"/>
      </w:pPr>
      <w:r>
        <w:t xml:space="preserve">3. Intersectoral mobility</w:t>
      </w:r>
    </w:p>
    <w:p>
      <w:pPr>
        <w:pStyle w:val="FirstParagraph"/>
      </w:pPr>
      <w:r>
        <w:rPr>
          <w:bCs/>
          <w:b/>
        </w:rPr>
        <w:t xml:space="preserve">Retrospective - the strongest dimension.</w:t>
      </w:r>
      <w:r>
        <w:t xml:space="preserve"> </w:t>
      </w:r>
      <w:r>
        <w:t xml:space="preserve">Fifteen years in the financial sector as a</w:t>
      </w:r>
      <w:r>
        <w:t xml:space="preserve"> </w:t>
      </w:r>
      <w:r>
        <w:t xml:space="preserve">quantitative analyst and risk manager (2007–2018, including co-founding an asset-management</w:t>
      </w:r>
      <w:r>
        <w:t xml:space="preserve"> </w:t>
      </w:r>
      <w:r>
        <w:t xml:space="preserve">firm), estimating rare and costly events: extreme-value methods for non-Gaussian tails, regime</w:t>
      </w:r>
      <w:r>
        <w:t xml:space="preserve"> </w:t>
      </w:r>
      <w:r>
        <w:t xml:space="preserve">and factor models, stress testing, scenario analysis. In 2019 I left that career for biomedical</w:t>
      </w:r>
      <w:r>
        <w:t xml:space="preserve"> </w:t>
      </w:r>
      <w:r>
        <w:t xml:space="preserve">research. This is a complete change of sector and of field, and it is the source of the</w:t>
      </w:r>
      <w:r>
        <w:t xml:space="preserve"> </w:t>
      </w:r>
      <w:r>
        <w:t xml:space="preserve">project's methodological core: the regime-switching representation, the tail modelling and the</w:t>
      </w:r>
      <w:r>
        <w:t xml:space="preserve"> </w:t>
      </w:r>
      <w:r>
        <w:t xml:space="preserve">decision-analytic evaluation were carried across that boundary, not acquired in any research</w:t>
      </w:r>
      <w:r>
        <w:t xml:space="preserve"> </w:t>
      </w:r>
      <w:r>
        <w:t xml:space="preserve">group I have belonged to. I have since obtained innovation-sector funding for my own instrument</w:t>
      </w:r>
      <w:r>
        <w:t xml:space="preserve"> </w:t>
      </w:r>
      <w:r>
        <w:t xml:space="preserve">(Venture Kick CHF 10,000; Mimosa CHF 20,000; UNIGE CHF 30,000) - a sectoral bridge run in the</w:t>
      </w:r>
      <w:r>
        <w:t xml:space="preserve"> </w:t>
      </w:r>
      <w:r>
        <w:t xml:space="preserve">other direction.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WP4 is built with practice: escalation thresholds elicited from emergency</w:t>
      </w:r>
      <w:r>
        <w:t xml:space="preserve"> </w:t>
      </w:r>
      <w:r>
        <w:t xml:space="preserve">physicians, dispatch supervisors and capacity managers, and results returned to the operational</w:t>
      </w:r>
      <w:r>
        <w:t xml:space="preserve"> </w:t>
      </w:r>
      <w:r>
        <w:t xml:space="preserve">partners who supplied the data.</w:t>
      </w:r>
    </w:p>
    <w:bookmarkEnd w:id="23"/>
    <w:bookmarkStart w:id="24" w:name="Xfcf601ea61776cf32ffac0ee76b8babd402a7bb"/>
    <w:p>
      <w:pPr>
        <w:pStyle w:val="Heading3"/>
      </w:pPr>
      <w:r>
        <w:t xml:space="preserve">4. Interdisciplinary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Econometrics → quantitative finance → biomedical sciences → automated</w:t>
      </w:r>
      <w:r>
        <w:t xml:space="preserve"> </w:t>
      </w:r>
      <w:r>
        <w:t xml:space="preserve">evidence synthesis (LiteRev,</w:t>
      </w:r>
      <w:r>
        <w:t xml:space="preserve"> </w:t>
      </w:r>
      <w:r>
        <w:rPr>
          <w:iCs/>
          <w:i/>
        </w:rPr>
        <w:t xml:space="preserve">JMIR</w:t>
      </w:r>
      <w:r>
        <w:t xml:space="preserve"> </w:t>
      </w:r>
      <w:r>
        <w:t xml:space="preserve">2023; LiteRev-Evidence) → emergency public health. Each move</w:t>
      </w:r>
      <w:r>
        <w:t xml:space="preserve"> </w:t>
      </w:r>
      <w:r>
        <w:t xml:space="preserve">is documented in published work, and the senior-authored machine-learning classification across</w:t>
      </w:r>
      <w:r>
        <w:t xml:space="preserve"> </w:t>
      </w:r>
      <w:r>
        <w:t xml:space="preserve">WHO STEPS surveys (accepted) marks the transition from conducting analyses within these fields</w:t>
      </w:r>
      <w:r>
        <w:t xml:space="preserve"> </w:t>
      </w:r>
      <w:r>
        <w:t xml:space="preserve">to directing them.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 itself is the interdisciplinary programme: natural language</w:t>
      </w:r>
      <w:r>
        <w:t xml:space="preserve"> </w:t>
      </w:r>
      <w:r>
        <w:t xml:space="preserve">processing (WP1), Bayesian time-series and extreme-value modelling (WP2–WP3) and</w:t>
      </w:r>
      <w:r>
        <w:t xml:space="preserve"> </w:t>
      </w:r>
      <w:r>
        <w:t xml:space="preserve">decision science with clinical partners (WP4), integrated around one falsifiable question.</w:t>
      </w:r>
    </w:p>
    <w:bookmarkEnd w:id="24"/>
    <w:bookmarkStart w:id="25" w:name="X5181c7197d7ece2b58dcbe2551e14c8ab3c91f6"/>
    <w:p>
      <w:pPr>
        <w:pStyle w:val="Heading3"/>
      </w:pPr>
      <w:r>
        <w:t xml:space="preserve">5. Intellectual mobility (communication beyond academia)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I teach statistics and epidemiology to practising clinicians and public-health</w:t>
      </w:r>
      <w:r>
        <w:t xml:space="preserve"> </w:t>
      </w:r>
      <w:r>
        <w:t xml:space="preserve">professionals on the MAS in Public Health (since 2024) - an audience that acts on methods rather</w:t>
      </w:r>
      <w:r>
        <w:t xml:space="preserve"> </w:t>
      </w:r>
      <w:r>
        <w:t xml:space="preserve">than publishes about them, which shaped this project's decision-first evaluation. During the</w:t>
      </w:r>
      <w:r>
        <w:t xml:space="preserve"> </w:t>
      </w:r>
      <w:r>
        <w:t xml:space="preserve">pandemic I built the COVID-19 dashboard used for WHO African Region situational awareness. My</w:t>
      </w:r>
      <w:r>
        <w:t xml:space="preserve"> </w:t>
      </w:r>
      <w:r>
        <w:t xml:space="preserve">platform work is public-facing by design, with operational scenarios elaborated jointly with</w:t>
      </w:r>
      <w:r>
        <w:t xml:space="preserve"> </w:t>
      </w:r>
      <w:r>
        <w:t xml:space="preserve">emergency-medicine partners.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project's outputs are deliberately usable outside academia: an open</w:t>
      </w:r>
      <w:r>
        <w:t xml:space="preserve"> </w:t>
      </w:r>
      <w:r>
        <w:t xml:space="preserve">extraction benchmark, open software, elicited and documented escalation thresholds returned to</w:t>
      </w:r>
      <w:r>
        <w:t xml:space="preserve"> </w:t>
      </w:r>
      <w:r>
        <w:t xml:space="preserve">the emergency services, and result briefings to the cantonal partners</w:t>
      </w:r>
      <w:r>
        <w:t xml:space="preserve"> </w:t>
      </w:r>
      <w:r>
        <w:rPr>
          <w:rStyle w:val="VerbatimChar"/>
        </w:rPr>
        <w:t xml:space="preserve">[[and, if you wish, a public-facing summary via the platform - your call]]</w:t>
      </w:r>
      <w:r>
        <w:t xml:space="preserve">. A negative result will be communicated</w:t>
      </w:r>
      <w:r>
        <w:t xml:space="preserve"> </w:t>
      </w:r>
      <w:r>
        <w:t xml:space="preserve">with the same care as a positive one, because its practical consequence - do not let</w:t>
      </w:r>
      <w:r>
        <w:t xml:space="preserve"> </w:t>
      </w:r>
      <w:r>
        <w:t xml:space="preserve">literature-derived parameters drive operational decisions - is aimed at practitioners.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4e98bfe92e7f6504078893e2cedae68c1e826fb"/>
    <w:p>
      <w:pPr>
        <w:pStyle w:val="Heading2"/>
      </w:pPr>
      <w:r>
        <w:t xml:space="preserve">Notes for filling the form (not part of the statement)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dimension has a prospective entry</w:t>
      </w:r>
      <w:r>
        <w:t xml:space="preserve"> </w:t>
      </w:r>
      <w:r>
        <w:t xml:space="preserve">- that is what satisfies Art. 9 §3 via §4(c).</w:t>
      </w:r>
      <w:r>
        <w:t xml:space="preserve"> </w:t>
      </w:r>
      <w:r>
        <w:t xml:space="preserve">The named short visits in dimension 2 are the one block that still needs your decision;</w:t>
      </w:r>
      <w:r>
        <w:t xml:space="preserve"> </w:t>
      </w:r>
      <w:r>
        <w:t xml:space="preserve">the regulations require concrete content there, and "to be identified" will read as a blank.</w:t>
      </w:r>
    </w:p>
    <w:p>
      <w:pPr>
        <w:numPr>
          <w:ilvl w:val="0"/>
          <w:numId w:val="1002"/>
        </w:numPr>
        <w:pStyle w:val="Compact"/>
      </w:pPr>
      <w:r>
        <w:t xml:space="preserve">If the form's fields are tight, cut in this order: the Venture Kick/Mimosa sentence in</w:t>
      </w:r>
      <w:r>
        <w:t xml:space="preserve"> </w:t>
      </w:r>
      <w:r>
        <w:t xml:space="preserve">dimension 3; the WHO dashboard sentence in dimension 5; the conference-venues clause. Do not</w:t>
      </w:r>
      <w:r>
        <w:t xml:space="preserve"> </w:t>
      </w:r>
      <w:r>
        <w:t xml:space="preserve">cut the opening remark, the host-choice paragraph (dimension 1) or the sectoral paragraph</w:t>
      </w:r>
      <w:r>
        <w:t xml:space="preserve"> </w:t>
      </w:r>
      <w:r>
        <w:t xml:space="preserve">(dimension 3) - those carry the case.</w:t>
      </w:r>
    </w:p>
    <w:p>
      <w:pPr>
        <w:numPr>
          <w:ilvl w:val="0"/>
          <w:numId w:val="1002"/>
        </w:numPr>
        <w:pStyle w:val="Compact"/>
      </w:pPr>
      <w:r>
        <w:t xml:space="preserve">Keep wording consistent with the research plan: "independent research programme alongside the</w:t>
      </w:r>
      <w:r>
        <w:t xml:space="preserve"> </w:t>
      </w:r>
      <w:r>
        <w:t xml:space="preserve">Institute's groups", "operational demand signal", the two registration points. Reviewers read</w:t>
      </w:r>
      <w:r>
        <w:t xml:space="preserve"> </w:t>
      </w:r>
      <w:r>
        <w:t xml:space="preserve">the statement against the plan (Guidelines 3.3).</w:t>
      </w:r>
    </w:p>
    <w:p>
      <w:pPr>
        <w:numPr>
          <w:ilvl w:val="0"/>
          <w:numId w:val="1002"/>
        </w:numPr>
        <w:pStyle w:val="Compact"/>
      </w:pPr>
      <w:r>
        <w:t xml:space="preserve">If asked why no long stay: the scheme permits one but does not require it; the project's</w:t>
      </w:r>
      <w:r>
        <w:t xml:space="preserve"> </w:t>
      </w:r>
      <w:r>
        <w:t xml:space="preserve">assets - the 144 series, the partnerships, the cantonal linkage, the platform - are</w:t>
      </w:r>
      <w:r>
        <w:t xml:space="preserve"> </w:t>
      </w:r>
      <w:r>
        <w:t xml:space="preserve">concentrated in Geneva and are not reproducible elsewhere, and equivalent mobility is</w:t>
      </w:r>
      <w:r>
        <w:t xml:space="preserve"> </w:t>
      </w:r>
      <w:r>
        <w:t xml:space="preserve">achieved through the concrete activities above (Art. 9 §4c).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2026-09-30T14:20:16Z</dcterms:created>
  <dcterms:modified xsi:type="dcterms:W3CDTF">2026-09-30T14:20:16Z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