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provenance-tracked, certainty-graded extraction, pooled parameter distributions and candidate model specifications.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priors improve cold-start forecast skill, how fast that value decays, and when they cause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champion with evidence-derived priors against the champion without them, repeated once, sequentially, as the heat generalisation test.</w:t>
      </w:r>
    </w:p>
    <w:p>
      <w:pPr>
        <w:pStyle w:val="BodyText"/>
      </w:pPr>
      <w:r>
        <w:t xml:space="preserve">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develop surveillance, forecasting and decision-support capability from local data; none has as a stated objective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a model specification (outcome, predictors,</w:t>
      </w:r>
      <w:r>
        <w:t xml:space="preserve"> </w:t>
      </w:r>
      <w:r>
        <w:t xml:space="preserve">lags, functional form) and compartmental components parameterised from extracted ranges,</w:t>
      </w:r>
      <w:r>
        <w:t xml:space="preserve"> </w:t>
      </w:r>
      <w:r>
        <w:t xml:space="preserve">each with the articles behind it. Per-scenario</w:t>
      </w:r>
      <w:r>
        <w:t xml:space="preserve"> </w:t>
      </w:r>
      <w:r>
        <w:rPr>
          <w:bCs/>
          <w:b/>
        </w:rPr>
        <w:t xml:space="preserve">living reviews re-run on schedule</w:t>
      </w:r>
      <w:r>
        <w:t xml:space="preserve">, with</w:t>
      </w:r>
      <w:r>
        <w:t xml:space="preserve"> </w:t>
      </w:r>
      <w:r>
        <w:t xml:space="preserve">what changed made visible: the evidence-to-model mechanism this proposal interrogates, in</w:t>
      </w:r>
      <w:r>
        <w:t xml:space="preserve"> </w:t>
      </w:r>
      <w:r>
        <w:t xml:space="preserve">prototype 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validation domains are chosen by</w:t>
      </w:r>
      <w:r>
        <w:t xml:space="preserve"> </w:t>
      </w:r>
      <w:r>
        <w:rPr>
          <w:bCs/>
          <w:b/>
        </w:rPr>
        <w:t xml:space="preserve">model class</w:t>
      </w:r>
      <w:r>
        <w:t xml:space="preserve">, and why the proposal</w:t>
      </w:r>
      <w:r>
        <w:t xml:space="preserve"> </w:t>
      </w:r>
      <w:r>
        <w:t xml:space="preserve">rests on a mapped, not assumed, data landscape.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5580000" cy="283195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580000" cy="2831954"/>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784"/>
        <w:gridCol w:w="6122"/>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with-prior versus without-prior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(library, validity checks, selection rule: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observation mode is an extension, not a prerequisite.</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system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 demand distribution;</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The adaptive specification is a robust mixture of an evidence-derived and a weakly informative component, prior–data conflict recorded explicitly.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every model re-estimated at its inputs' native cadence (daily demand, weekly surveillance),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origins re-run automatically through the T2.5 layer, each input at its native cadence.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operational implementations [Salmon 2016]); penalised and gradient-boosted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w:t>
      </w:r>
      <w:r>
        <w:t xml:space="preserve"> </w:t>
      </w:r>
      <w:r>
        <w:t xml:space="preserve">At each origin every admissible candidate runs automatically, passes the T2.5 assumption and validity checks, and is scored on pre-specified metrics (CRPS, log score, calibration); each arm's</w:t>
      </w:r>
      <w:r>
        <w:t xml:space="preserve"> </w:t>
      </w:r>
      <w:r>
        <w:rPr>
          <w:bCs/>
          <w:b/>
        </w:rPr>
        <w:t xml:space="preserve">champion</w:t>
      </w:r>
      <w:r>
        <w:t xml:space="preserve"> </w:t>
      </w:r>
      <w:r>
        <w:t xml:space="preserve">is selected by a registered rule, blind to the other arm. Identical machinery in both arms means the contrast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(between library members, between borrowing strategies)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 tuned into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then runs as a</w:t>
      </w:r>
      <w:r>
        <w:t xml:space="preserve"> </w:t>
      </w:r>
      <w:r>
        <w:rPr>
          <w:bCs/>
          <w:b/>
        </w:rPr>
        <w:t xml:space="preserve">daily observation-mode dashboard</w:t>
      </w:r>
      <w:r>
        <w:t xml:space="preserve"> </w:t>
      </w:r>
      <w:r>
        <w:t xml:space="preserve">with the partner services (CASU-144 regulation, HUG emergency department,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None of the explicit fallbacks above converts an inconclusive analysis into a success claim. Four to six papers and two durable open resources;</w:t>
      </w:r>
      <w:r>
        <w:t xml:space="preserve"> </w:t>
      </w:r>
      <w:r>
        <w:rPr>
          <w:bCs/>
          <w:b/>
        </w:rPr>
        <w:t xml:space="preserve">I lead the methodological, benchmark and integrative outputs.</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and model specifications,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2917"/>
        <w:gridCol w:w="1560"/>
        <w:gridCol w:w="5989"/>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w:t>
            </w:r>
            <w:r>
              <w:t xml:space="preserve">(voice excluded);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 with the narrowing stated.</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drawing>
          <wp:inline>
            <wp:extent cx="6640000" cy="361216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61216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later risk.</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the benchmark, prior library and evaluation code as</w:t>
      </w:r>
      <w:r>
        <w:t xml:space="preserve"> </w:t>
      </w:r>
      <w:r>
        <w:rPr>
          <w:bCs/>
          <w:b/>
        </w:rPr>
        <w:t xml:space="preserve">citable, versioned open resources</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forecasting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the update rules that make such a platform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090"/>
        <w:gridCol w:w="3661"/>
        <w:gridCol w:w="1560"/>
        <w:gridCol w:w="315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is §2.5's platform pathway; this project supplies its validated core.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80" w:right="720" w:bottom="68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2026-10-07T09:31:45Z</dcterms:created>
  <dcterms:modified xsi:type="dcterms:W3CDTF">2026-10-07T09:31:45Z</dcterms:modified>
</cp:coreProperties>
</file>

<file path=docProps/custom.xml><?xml version="1.0" encoding="utf-8"?>
<Properties xmlns="http://schemas.openxmlformats.org/officeDocument/2006/custom-properties" xmlns:vt="http://schemas.openxmlformats.org/officeDocument/2006/docPropsVTypes"/>
</file>