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In particular, the historical model-selection pipeline still has to show that it uses only information available at each forecast date. That validation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399494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3994944"/>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They will depend on what the published evidence defines and on the data available, for example emergency calls filtered on the recorded symptoms, emergency-department visits, hospital admissions, bed or ICU occupancy, or case counts [39, 40].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kinds of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HUG COVID-19 hospitalisation series I analysed before [35], or well-known open series. The candidates are listed at registration in order of preference.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[3, 4]. This checks that the replay and selection machinery works.</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[43, 44], because reporting tends to slow down under pressure and can look like an early warning. The HUG COVID-19 hospitalisation data I analysed before [35]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case-incidence forecasts at the start of an outbreak, using the linked case-environment data, outside the confirmatory family of the two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on local service data. If access fails, the scientific claim narrows and the decision analysis is limited accordingly.</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t43-dashboard-and-living-updates-m34m48"/>
    <w:p>
      <w:pPr>
        <w:pStyle w:val="Heading5"/>
      </w:pPr>
      <w:r>
        <w:t xml:space="preserve">T4.3. Dashboard and living updates (M34–M48)</w:t>
      </w:r>
    </w:p>
    <w:p>
      <w:pPr>
        <w:pStyle w:val="FirstParagraph"/>
      </w:pPr>
      <w:r>
        <w:t xml:space="preserve">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1868"/>
        <w:gridCol w:w="3206"/>
        <w:gridCol w:w="2818"/>
        <w:gridCol w:w="2654"/>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jc w:val="left"/>
            </w:pPr>
            <w:r>
              <w:t xml:space="preserve">Prof. Olivia Keiser, PI of the legionellosis study</w:t>
            </w:r>
          </w:p>
        </w:tc>
        <w:tc>
          <w:tcPr/>
          <w:p>
            <w:pPr>
              <w:pStyle w:val="Compact"/>
              <w:jc w:val="left"/>
            </w:pPr>
            <w:r>
              <w:t xml:space="preserve">Legionellosis linked data, analysis by the applicant</w:t>
            </w:r>
          </w:p>
        </w:tc>
        <w:tc>
          <w:tcPr/>
          <w:p>
            <w:pPr>
              <w:pStyle w:val="Compact"/>
              <w:jc w:val="left"/>
            </w:pPr>
            <w:r>
              <w:t xml:space="preserve">Study approved,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4752673"/>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4752673"/>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Manual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Pressure model passes its checks (or fallback chosen), data gate passed</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complete, outcome chosen and data ready (or access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Main test done</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value measured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Three tests done, dashboard running where authorised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2026-10-15T05:21:34Z</dcterms:created>
  <dcterms:modified xsi:type="dcterms:W3CDTF">2026-10-15T05:21:34Z</dcterms:modified>
</cp:coreProperties>
</file>

<file path=docProps/custom.xml><?xml version="1.0" encoding="utf-8"?>
<Properties xmlns="http://schemas.openxmlformats.org/officeDocument/2006/custom-properties" xmlns:vt="http://schemas.openxmlformats.org/officeDocument/2006/docPropsVTypes"/>
</file>