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small number of reliable outcomes from the specific episode and local service that need to be forecast. Historical local records may be extensive, but they cannot immediately show how a new episode affects cause-specific emergency demand. The model must estimate and update that relationship as episode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may inform plausible parameter values, useful explanatory variables and lags, candidate model forms, and outcome or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comparison is between a reference strategy and an evidence-informed strategy. Both use the same available context feeds, historical local outcome data and outcomes observed so far in the current episode. Only the evidence-informed strategy uses information extracted from published studies to shape its parameter distributions and model choices.</w:t>
      </w:r>
    </w:p>
    <w:p>
      <w:pPr>
        <w:pStyle w:val="BodyText"/>
      </w:pPr>
      <w:r>
        <w:t xml:space="preserve">The work has four linked parts. I will benchmark automated extraction against an independently adjudicated sample and measure how extraction errors affect the uncertainty carried into models. I will build a model that represents pressure on the health system in ordered levels, from routine to critical, while forecasting demand. I will then replay past episodes using only the information available at each forecast date and compare the two strategies. Finally, I will assess whether differences in forecast quality would change operational decisions. Both strategies receive the same weather, air-quality, calendar and surveillance feeds, and both use the same local outcome history. Candidate models are selected under the same rules, set before forecast performance is examined.</w:t>
      </w:r>
    </w:p>
    <w:p>
      <w:pPr>
        <w:pStyle w:val="BodyText"/>
      </w:pPr>
      <w:r>
        <w:t xml:space="preserve">The real-world tests are in Geneva and cover three crisis types with different drivers. Respiratory epidemics provide the primary test because published evidence is comparatively rich. Heat-related demand is tested second, and only if the respiratory test succeeds. Legionellosis is a year-four extension using a linked case-environment dataset on which I already lead the data work. It tests case-incidence forecasting and sits outside the emergency-demand comparison. Before clinical data are analysed, the methods will be tested on open Swiss series and released as a public benchmark. If published evidence improves forecasts, the project will show when and by how much. If it has no benefit or causes harm, the result will define where it should not be used. For validated demand-based applications that services authorise, forecasts will run in a daily observation-mode dashboard and be scored against outcomes as they arrive. The dashboard will not direct clinical care.</w:t>
      </w:r>
    </w:p>
    <w:p>
      <w:pPr>
        <w:pStyle w:val="BodyText"/>
      </w:pPr>
      <w:r>
        <w:t xml:space="preserve">My background combines fifteen years in quantitative finance, where I worked on rare-event risk, regime changes and stress testing, with a doctorate in biomedical sciences at Geneva. I conceived and built LiteRev with Aziza Merzouki in Olivia Keiser's group, then extended that work into LiteRev-Evidence, the prototype for structured evidence extraction and model comparison. Through GESICA, I also work with Geneva emergency and surveillance data. HEADSTART builds on these methods and data but tests a distinct question through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limitation is not usually a lack of contextual inputs. Weather and air-quality measurements, calendar effects, wastewater and some surveillance indicators may be available in near real time through public feeds or partners, and they can be linked automatically to a forecasting model. What is missing at onset is enough reliable outcome data from the particular episode to estimate how those conditions are affecting this service now. Historical records help establish baseline patterns, but the new episode may differ in its drivers, affected population, severity or service response. The relationship between the available inputs and the local outcome must therefore be checked as new outcomes arrive.</w:t>
      </w:r>
    </w:p>
    <w:p>
      <w:pPr>
        <w:pStyle w:val="BodyText"/>
      </w:pPr>
      <w:r>
        <w:t xml:space="preserve">Google Flu Trends illustrates why indirect indicators cannot replace outcome validation. It overestimated influenza by more than a factor of two [Lazer 2014]. Published findings may help, provided their uncertainty and relevance to the local setting are assessed.</w:t>
      </w:r>
    </w:p>
    <w:bookmarkEnd w:id="21"/>
    <w:bookmarkStart w:id="22" w:name="X9a84fd0f03829a88a730b080303a70e641bdfe4"/>
    <w:p>
      <w:pPr>
        <w:pStyle w:val="Heading3"/>
      </w:pPr>
      <w:r>
        <w:t xml:space="preserve">2.1.2 Published studies can inform forecasts if uncertainty and relevance are assessed</w:t>
      </w:r>
    </w:p>
    <w:p>
      <w:pPr>
        <w:pStyle w:val="FirstParagraph"/>
      </w:pPr>
      <w:r>
        <w:t xml:space="preserve">Statistical models can use earlier studies to inform estimates for a new setting through priors. Methods include power priors [Ibrahim 2000], commensurate priors [Hobbs 2011] and robust meta-analytic-predictive priors [Schmidli 2014]. Informative priors have also been used to forecast disease with little local data [Cook 2023]. The unresolved question is whether an automated pipeline can extract published evidence, preserve its uncertainty, assess its relevance to the new setting and improve forecasts of local health-system demand at crisis onset.</w:t>
      </w:r>
    </w:p>
    <w:p>
      <w:pPr>
        <w:pStyle w:val="BodyText"/>
      </w:pPr>
      <w:r>
        <w:t xml:space="preserve">Published studies can inform more than parameter values. They can suggest which variables and time lags to consider, which model forms are suitable for a given crisis and forecast horizon, and how outcomes or warning thresholds have been defined. Living systematic reviews keep evidence current [Elliott 2014]. To my knowledge, however, these different forms of evidence have not been tested together in an operational forecasting workflow under strict historical information constraints.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 published estimate is extracted correctly, it may not transfer to Geneva because of differences in population, case definitions, service organisation or policy. Formal methods for assessing transportability exist [Bareinboim 2016; Dahabreh 2020; Degtiar 2023], but they have not been integrated with automated evidence extraction and tested for their effect on forecasts of health-system demand at crisis onset.</w:t>
      </w:r>
    </w:p>
    <w:bookmarkEnd w:id="22"/>
    <w:bookmarkStart w:id="23" w:name="X06001e5c17fc299ce8c700b81ab9cc74fbd8072"/>
    <w:p>
      <w:pPr>
        <w:pStyle w:val="Heading3"/>
      </w:pPr>
      <w:r>
        <w:t xml:space="preserve">2.1.3 Escalation should be assessed as well as the demand count</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uses an ordered latent state (routine, elevated, strained, critical) as a common way to translate forecasts into levels of system pressure.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7e1f039a173145f197e3bf03a07387d0fb82365"/>
    <w:p>
      <w:pPr>
        <w:pStyle w:val="Heading3"/>
      </w:pPr>
      <w:r>
        <w:t xml:space="preserve">2.1.4 Forecast quality matters when it can change a decision</w:t>
      </w:r>
    </w:p>
    <w:p>
      <w:pPr>
        <w:pStyle w:val="FirstParagraph"/>
      </w:pPr>
      <w:r>
        <w:t xml:space="preserve">A forecast is useful when it changes a decision in a defensible way. Proper scoring rules evaluate probabilistic forecasts, including their calibration [Gneiting 2007], while decision-analytic methods assess predictions in light of consequences [Vickers 2006]. Heat thresholds based on mortality need not match thresholds for service demand [Lung 2021], and reported pollution–asthma emergency associations vary across settings [Zheng 2015]. HEADSTART will therefore evaluate forecasts first statistically, then under an operational loss structure elicited from emergency-service experts.</w:t>
      </w:r>
    </w:p>
    <w:bookmarkEnd w:id="24"/>
    <w:bookmarkStart w:id="25" w:name="X869ace57cbcc8d31563ca664cf9dedd5e37a682"/>
    <w:p>
      <w:pPr>
        <w:pStyle w:val="Heading3"/>
      </w:pPr>
      <w:r>
        <w:t xml:space="preserve">2.1.5 The gap: testing published evidence in a new setting</w:t>
      </w:r>
    </w:p>
    <w:p>
      <w:pPr>
        <w:pStyle w:val="FirstParagraph"/>
      </w:pPr>
      <w:r>
        <w:t xml:space="preserve">Current programmes include multi-model forecasting hubs such as ECDC RespiCast and US CDC FluSight, the Horizon Europe epidemic-intelligence project GeoAI4EI, and the Franco-Swiss GESICA programme. The question here is narrower. Does automatically extracted evidence from earlier studies improve forecasts of a local service's demand when observations from the current episode are still few? HEADSTART tests this under registered rules, with the same data streams for both strategies and a historical reconstruction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background combines fifteen years in quantitative finance, where I worked on risk, extreme values, regime models and stress testing, with a doctorate in biomedical sciences at Geneva (defended 18 December 2023). This combination provides the methods for modelling rare events and the public-health training needed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examined where models transferred between countries. [Merzouki 2021] and [Esra 2023] developed related work. As last author of [Ng'ambi 2026] (accepted), on cardiovascular-disease classification across harmonised WHO STEPS surveys, I have taken a more senior role in this line of research. It provides direct experience with the question of when model relationships transfer between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searches open databases using natural-language or Boolean queries, removes duplicates, maps the available literature and suggests relevant papers in repeated rounds. I took the initiative to secure CHF 30,000 from UNIGE, CHF 10,000 from Venture Kick and CHF 20,000 from Mimosa, outside a group grant. The systematic review of AI in emergency medical services [Edjinedja 2026], within GESICA,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for the Geneva–Vaud–Neuchâtel network, whose Geneva component HEADSTART uses. It covers 77 notifiable diseases in eight model classes and an inventory of 28 surveillance sources (23 infectious and 5 environmental). Each source is documented for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Geneva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quantitative-finance work provides experience in Bayesian hierarchical modelling, regime changes, extreme values and stress testing under misspecification. LiteRev-Evidence provides the extraction and pooling methods. My doctorate, Swiss COVID-19 work and GESICA provide the public-health and Geneva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these inputs and the target outcome, provided its uncertainty and relevance to Geneva are represented.</w:t>
      </w:r>
    </w:p>
    <w:tbl>
      <w:tblPr>
        <w:tblStyle w:val="Table"/>
        <w:tblW w:w="10546" w:type="dxa"/>
        <w:tblLook w:firstRow="1" w:lastRow="0" w:firstColumn="0" w:lastColumn="0" w:noHBand="0" w:noVBand="0" w:val="0020"/>
        <w:jc w:val="start"/>
        <w:tblLayout w:type="fixed"/>
      </w:tblPr>
      <w:tblGrid>
        <w:gridCol w:w="1560"/>
        <w:gridCol w:w="2137"/>
        <w:gridCol w:w="6849"/>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identify levels of pressure and estimate their probabilities reliably?</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outcomes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change an operational decision for the better?</w:t>
            </w:r>
          </w:p>
        </w:tc>
      </w:tr>
    </w:tbl>
    <w:p>
      <w:pPr>
        <w:pStyle w:val="BodyText"/>
      </w:pPr>
      <w:r>
        <w:drawing>
          <wp:inline>
            <wp:extent cx="6640000" cy="262581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25817"/>
                    </a:xfrm>
                    <a:prstGeom prst="rect">
                      <a:avLst/>
                    </a:prstGeom>
                    <a:noFill/>
                    <a:ln w="9525">
                      <a:noFill/>
                      <a:headEnd/>
                      <a:tailEnd/>
                    </a:ln>
                  </pic:spPr>
                </pic:pic>
              </a:graphicData>
            </a:graphic>
          </wp:inline>
        </w:drawing>
      </w:r>
    </w:p>
    <w:p>
      <w:pPr>
        <w:pStyle w:val="BodyText"/>
      </w:pPr>
      <w:r>
        <w:rPr>
          <w:iCs/>
          <w:i/>
        </w:rPr>
        <w:t xml:space="preserve">Figure 1. The context data shared by both strategies, evidence from published studies, and evaluation against later outcomes.</w:t>
      </w:r>
    </w:p>
    <w:bookmarkStart w:id="37" w:name="X8d63a2de13ad746f93f7c0b83efc022a4926ffe"/>
    <w:p>
      <w:pPr>
        <w:pStyle w:val="Heading4"/>
      </w:pPr>
      <w:r>
        <w:t xml:space="preserve">O1. Make published evidence usable without hiding its uncertainty</w:t>
      </w:r>
    </w:p>
    <w:p>
      <w:pPr>
        <w:pStyle w:val="BlockText"/>
      </w:pPr>
      <w:r>
        <w:t xml:space="preserve">H1. Automated extraction will understate the uncertainty in quantitative evidence, including reported within-study uncertainty and variation between studies, making the resulting parameter distributions too narrow. A measurement-error layer should reduce this under-dispersion. Success will be assessed using pre-specified coverage and calibration measures on held-out studies adjudicated by independent human extractors.</w:t>
      </w:r>
    </w:p>
    <w:p>
      <w:pPr>
        <w:pStyle w:val="FirstParagraph"/>
      </w:pPr>
      <w:r>
        <w:t xml:space="preserve">Omissions are common [Shankar 2026], and H1 tests whether they also reduce the estimated spread of the evidence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recover interpretable levels of pressure and produce calibrated probabilities at a comparable false-alarm rate. This shared state scale allows forecasts from different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criterion, the registered ordinal state-space fallback is used, and the main comparison of the two strategies still proceeds.</w:t>
      </w:r>
    </w:p>
    <w:bookmarkEnd w:id="38"/>
    <w:bookmarkStart w:id="39" w:name="Xe04ccf43b3ed002a71852c7ea694bf6fb752df2"/>
    <w:p>
      <w:pPr>
        <w:pStyle w:val="Heading4"/>
      </w:pPr>
      <w:r>
        <w:t xml:space="preserve">O3. Test whether published evidence improves forecasts and identify when it harms</w:t>
      </w:r>
    </w:p>
    <w:p>
      <w:pPr>
        <w:pStyle w:val="BlockText"/>
      </w:pPr>
      <w:r>
        <w:t xml:space="preserve">H3a. During the early days of an episode, a strategy informed by published studies (parameter distributions, explanatory variables and lags, and candidate model forms) will produce better probabilistic forecasts than a reference strategy that uses the same context inputs, local records and outcomes observed so far, but not the literature-derived model inputs. How long any advantage persists as outcomes accumulate will be assessed secondarily.</w:t>
      </w:r>
    </w:p>
    <w:p>
      <w:pPr>
        <w:pStyle w:val="BlockText"/>
      </w:pPr>
      <w:r>
        <w:t xml:space="preserve">H3b. When the published evidence is consistent with the process generating local outcomes, adaptive weighting, which reduces the weight given to that evidence when local results conflict with it, should perform no worse than fixed weighting, within the pre-specified margin Δ. When evidence is deliberately made inaccurate, adaptive weighting should outperform fixed weighting. This tests whether the model can limit harm rather than assume published evidence is always helpful.</w:t>
      </w:r>
    </w:p>
    <w:p>
      <w:pPr>
        <w:pStyle w:val="FirstParagraph"/>
      </w:pPr>
      <w:r>
        <w:t xml:space="preserve">Δ is set to half the minimum improvement defined as meaningful under H3a. Under the registered simulations where published and outcome-generating distributions match, this 50% preservation rule allows adaptive weighting to give up no more than half of that pre-specified benefit.</w:t>
      </w:r>
    </w:p>
    <w:p>
      <w:pPr>
        <w:pStyle w:val="BlockText"/>
      </w:pPr>
      <w:r>
        <w:t xml:space="preserve">H3c. Short-window changes in variability and lag-one autocorrelation will be tested for whether they improve forecasts beyond the context inputs, the local level and trend, and the published evidence.</w:t>
      </w:r>
    </w:p>
    <w:p>
      <w:pPr>
        <w:pStyle w:val="FirstParagraph"/>
      </w:pPr>
      <w:r>
        <w:t xml:space="preserve">Primary confirmatory comparison. The evidence-informed and reference strategies use the same pre-registered selection procedure and are compared with the continuous ranked probability score (CRPS), which evaluates full probability forecasts. The primary test uses respiratory episodes and the pre-specified early-episode window. Heat is tested with the same comparison only if the respiratory test passes, and this fixed order controls the family-wise error rate. How the difference changes as more local outcomes arrive is a secondary analysis.</w:t>
      </w:r>
    </w:p>
    <w:bookmarkEnd w:id="39"/>
    <w:bookmarkStart w:id="40" w:name="Xbbd82cf2a88d039e0723082c8af86f135f38055"/>
    <w:p>
      <w:pPr>
        <w:pStyle w:val="Heading4"/>
      </w:pPr>
      <w:r>
        <w:t xml:space="preserve">O4. Establish whether predictive improvement matters for decisions</w:t>
      </w:r>
    </w:p>
    <w:p>
      <w:pPr>
        <w:pStyle w:val="BlockText"/>
      </w:pPr>
      <w:r>
        <w:t xml:space="preserve">H4. For the demand-based settings, the forecast with the best statistical score will not always be the best operational choice. Decision analysis will assess the models under losses and escalation thresholds elicited from emergency-service experts. An evidence-informed forecast is useful only if its gain changes a decision in a way that matters operationally.</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full extraction benchmark focuses on class 1, while classes 2–4 carry provenance and certainty grades and are validated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resulting parameter distribution records its sources, extraction uncertainty and the weight assigned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The default levels are routine, elevated, strained and critical.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anchors are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expert elicitation can refine their decision interpretation, not change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The outcome hierarchy, access criteria and episode-eligibility rules are registered before forecast performance is examined.</w:t>
      </w:r>
    </w:p>
    <w:p>
      <w:pPr>
        <w:pStyle w:val="BodyText"/>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rather than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strained or critical state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Existing infrastructure includes LiteRev-Evidence, the linked legionellosis study, UNIGE HPC and the University's secure clinical-data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Requested project funds are capped at CHF 250,000 over four years, and my salary is covered separately. Under the 2026 rules, doctoral students and postdocs cannot be employed through Ambizione,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t xml:space="preserve">When published evidence improves forecasts, and when it misleads</w:t>
            </w:r>
          </w:p>
        </w:tc>
        <w:tc>
          <w:tcPr/>
          <w:p>
            <w:pPr>
              <w:pStyle w:val="Compact"/>
              <w:jc w:val="left"/>
            </w:pPr>
            <w:r>
              <w:rPr>
                <w:bCs/>
                <w:b/>
              </w:rP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w:t>
      </w:r>
    </w:p>
    <w:p>
      <w:pPr>
        <w:pStyle w:val="BodyText"/>
      </w:pPr>
      <w:r>
        <w:t xml:space="preserve">Where this leads. By month 48, a validated answer and a first-author record,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40" w:line="360" w:lineRule="auto"/>
      <w:jc w:val="both"/>
    </w:pPr>
    <w:rPr>
      <w:sz w:val="20"/>
      <w:szCs w:val="20"/>
    </w:rPr>
  </w:style>
  <w:style w:styleId="BodyText" w:type="paragraph">
    <w:name w:val="Body Text"/>
    <w:basedOn w:val="Normal"/>
    <w:link w:val="BodyTextChar"/>
    <w:pPr>
      <w:spacing w:before="0" w:after="4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40" w:line="360" w:lineRule="auto"/>
      <w:jc w:val="both"/>
    </w:pPr>
  </w:style>
  <w:style w:customStyle="1" w:styleId="Compact" w:type="paragraph">
    <w:name w:val="Compact"/>
    <w:basedOn w:val="BodyText"/>
    <w:qFormat/>
    <w:pPr>
      <w:spacing w:before="0" w:after="2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2026-10-14T14:29:58Z</dcterms:created>
  <dcterms:modified xsi:type="dcterms:W3CDTF">2026-10-14T14:29:58Z</dcterms:modified>
</cp:coreProperties>
</file>

<file path=docProps/custom.xml><?xml version="1.0" encoding="utf-8"?>
<Properties xmlns="http://schemas.openxmlformats.org/officeDocument/2006/custom-properties" xmlns:vt="http://schemas.openxmlformats.org/officeDocument/2006/docPropsVTypes"/>
</file>