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Using published evidence to forecast health-system crises when local outcome data are still too scarce</w:t>
      </w:r>
    </w:p>
    <w:bookmarkStart w:id="20" w:name="X54a346158e1c9302d737b408239f1b33007b474"/>
    <w:p>
      <w:pPr>
        <w:pStyle w:val="Heading1"/>
      </w:pPr>
      <w:r>
        <w:t xml:space="preserve">1. Summary</w:t>
      </w:r>
    </w:p>
    <w:p>
      <w:pPr>
        <w:pStyle w:val="FirstParagraph"/>
      </w:pPr>
      <w:r>
        <w:t xml:space="preserve">When a health crisis begins, the quantities decision-makers need to forecast (calls, presentations, demand, occupancy, severity) are precisely those for which almost no local outcome data yet exist. The outcome series is a handful of noisy observations, and systems that perform well on years of local history are weak when early decisions matter most. Published evidence from analogous events, elsewhere or in the past, is another source of quantitative information. It is rarely tested as formal prior information, because of the lack of reliable extraction and the difficulty of transporting it to the situation at hand. A confidently wrong prior is worse than none, and it is most influential exactly when local data cannot correct it.</w:t>
      </w:r>
    </w:p>
    <w:p>
      <w:pPr>
        <w:pStyle w:val="BodyText"/>
      </w:pPr>
      <w:r>
        <w:t xml:space="preserve">This project asks one question.</w:t>
      </w:r>
      <w:r>
        <w:t xml:space="preserve"> </w:t>
      </w:r>
      <w:r>
        <w:rPr>
          <w:bCs/>
          <w:b/>
        </w:rPr>
        <w:t xml:space="preserve">At the start of a crisis, when local outcome data are still too scarce, can published quantitative evidence, extracted automatically, adapted to the local setting and fed into predictive models, improve forecasts of health-system escalation?</w:t>
      </w:r>
      <w:r>
        <w:t xml:space="preserve"> </w:t>
      </w:r>
      <w:r>
        <w:t xml:space="preserve">Answering it means showing that the evidence is extracted reliably, that we can tell early when it misleads, and that any gain is large enough to change decisions. Finally, the whole system runs on its own, with models built from the evidence and its forecasts verified prospectively against observed outcomes.</w:t>
      </w:r>
      <w:r>
        <w:t xml:space="preserve"> </w:t>
      </w:r>
      <w:r>
        <w:rPr>
          <w:bCs/>
          <w:b/>
        </w:rPr>
        <w:t xml:space="preserve">LiteRev-Evidence</w:t>
      </w:r>
      <w:r>
        <w:t xml:space="preserve">, the prototype I built, already covers this whole path. Starting from a question in plain language, it extracts the published numbers and grades how certain they are, combines them into distributions of plausible values, suggests explanatory variables, and then fits and compares candidate models.</w:t>
      </w:r>
    </w:p>
    <w:p>
      <w:pPr>
        <w:pStyle w:val="BodyText"/>
      </w:pPr>
      <w:r>
        <w:t xml:space="preserve">The project turns this prototype into a validated instrument and tests it. First, I measure how faithfully automated extraction reproduces the literature and carry its errors into every number the models use. Second, I let the evidence say what should be forecast. Depending on the crisis, the quantity to predict may be a count, whether a threshold is crossed, or a set of levels of pressure on the care system. A continuous quantity is turned into levels whose number and thresholds start from what the literature reports before they are fixed for the tests. The models also read the short local history for an early-warning signal, the slowing down that often precedes a tipping point. Third, I replay past crises day by day, using only what was known at each moment, to measure whether the evidence improves early forecasts and when it misleads. Fourth, I ask whether any gain is large enough to change what emergency services decide. The decisive test is a contest between two arms, one using the evidence and one using local data only. In both, an automated engine checks and scores a library of candidate models and picks the best under rules fixed in advance.</w:t>
      </w:r>
    </w:p>
    <w:p>
      <w:pPr>
        <w:pStyle w:val="BodyText"/>
      </w:pPr>
      <w:r>
        <w:t xml:space="preserve">The tests take place in Geneva, on three crises the canton actually faces, chosen because what drives them differs. Respiratory epidemics spread from person to person and are the best documented in the literature, so they carry the main test. Heatwaves are driven by exposure, not transmission, and come second, only if the first test is passed, to show whether the approach transfers to a crisis of a different nature. Legionellosis outbreaks arise from the built environment and produce few cases, the hardest ground for borrowed evidence. They come last, as a year-4 extension on a linked dataset I already lead. Before any of this, the whole machinery is validated on open Swiss data and released as a public benchmark. Both results are useful. If the evidence helps, the project shows when and by how much. If it does not, or if its harm cannot be caught early enough, the project sets a limit that modellers and evidence platforms currently assume away. Where the models pass and the services authorise it, the system runs by month 48 as a</w:t>
      </w:r>
      <w:r>
        <w:t xml:space="preserve"> </w:t>
      </w:r>
      <w:r>
        <w:rPr>
          <w:bCs/>
          <w:b/>
        </w:rPr>
        <w:t xml:space="preserve">daily dashboard</w:t>
      </w:r>
      <w:r>
        <w:t xml:space="preserve"> </w:t>
      </w:r>
      <w:r>
        <w:t xml:space="preserve">with Geneva's emergency services, observing and never steering care, its forecasts scored as the outcomes arrive. It is the seed of a living surveillance platform.</w:t>
      </w:r>
    </w:p>
    <w:p>
      <w:pPr>
        <w:pStyle w:val="BodyText"/>
      </w:pPr>
      <w:r>
        <w:t xml:space="preserve">I come to this question from an unusual place. For fifteen years I modelled rare events and sudden regime changes in quantitative finance, where a model that is confident and wrong in a crisis is the most expensive kind. I then completed a doctorate in biomedical sciences at Geneva, built LiteRev and LiteRev-Evidence, and now work daily with the canton's emergency and surveillance data through the Franco-Swiss GESICA programme. The question arose from that work. Ambizione gives me the independence to answer it as my own programme.</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43445948763c0459dd15c2d92000ee48deb1003"/>
    <w:p>
      <w:pPr>
        <w:pStyle w:val="Heading3"/>
      </w:pPr>
      <w:r>
        <w:t xml:space="preserve">2.1.1 Forecasting health-system crises works in steady state and fails at onset</w:t>
      </w:r>
    </w:p>
    <w:p>
      <w:pPr>
        <w:pStyle w:val="FirstParagraph"/>
      </w:pPr>
      <w:r>
        <w:t xml:space="preserve">Syndromic surveillance detects departures from expected baselines [Farrington 1996; Noufaily 2013], and ensembles of forecasting models perform strongly in data-rich settings [Cramer 2022; Sherratt 2023]. Emergency dispatch records move ahead of confirmed surveillance. The autumn onset of the 2009 A(H1N1) pandemic was identified eight days early in three European regions [Rosenkötter 2013], long series of emergency calls track influenza-like illness [Bonora 2025], and our systematic review maps the field [Edjinedja 2026].</w:t>
      </w:r>
    </w:p>
    <w:p>
      <w:pPr>
        <w:pStyle w:val="BodyText"/>
      </w:pPr>
      <w:r>
        <w:t xml:space="preserve">The decisive limitation of these methods is their</w:t>
      </w:r>
      <w:r>
        <w:t xml:space="preserve"> </w:t>
      </w:r>
      <w:r>
        <w:rPr>
          <w:bCs/>
          <w:b/>
        </w:rPr>
        <w:t xml:space="preserve">dependence on history</w:t>
      </w:r>
      <w:r>
        <w:t xml:space="preserve">. Models that learn from data need enough local observations to capture seasonality, the response to weather and the dynamics of a crisis. Reviews of emergency-demand forecasting list which model families perform for which outcome and horizon [Wargon 2009], and every recommended model is trained on years of local history.</w:t>
      </w:r>
    </w:p>
    <w:p>
      <w:pPr>
        <w:pStyle w:val="BodyText"/>
      </w:pPr>
      <w:r>
        <w:rPr>
          <w:bCs/>
          <w:b/>
        </w:rPr>
        <w:t xml:space="preserve">The cold-start problem is a problem of missing outcomes.</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and transfer learning needs comparable observations from the same period. The common difficulty is</w:t>
      </w:r>
      <w:r>
        <w:t xml:space="preserve"> </w:t>
      </w:r>
      <w:r>
        <w:rPr>
          <w:bCs/>
          <w:b/>
        </w:rPr>
        <w:t xml:space="preserve">using external quantitative information without pretending it transfers perfectly</w:t>
      </w:r>
      <w:r>
        <w:t xml:space="preserve">.</w:t>
      </w:r>
    </w:p>
    <w:bookmarkEnd w:id="21"/>
    <w:bookmarkStart w:id="22" w:name="Xe3b566f1a22695a2f05ca180201ffea70994003"/>
    <w:p>
      <w:pPr>
        <w:pStyle w:val="Heading3"/>
      </w:pPr>
      <w:r>
        <w:t xml:space="preserve">2.1.2 Published evidence is an unused source of quantitative prior information</w:t>
      </w:r>
    </w:p>
    <w:p>
      <w:pPr>
        <w:pStyle w:val="FirstParagraph"/>
      </w:pPr>
      <w:r>
        <w:t xml:space="preserve">Methods for borrowing information from other sources are well developed. Power priors [Ibrahim 2000], commensurate priors [Hobbs 2011] and meta-analytic-predictive priors with robust protection against conflict [Schmidli 2014] all exist, and informative priors have been used to forecast disease when local data are sparse [Cook 2023]. What has not been established is narrower and harder, namely whether a prior</w:t>
      </w:r>
      <w:r>
        <w:t xml:space="preserve"> </w:t>
      </w:r>
      <w:r>
        <w:rPr>
          <w:bCs/>
          <w:b/>
        </w:rPr>
        <w:t xml:space="preserve">built automatically</w:t>
      </w:r>
      <w:r>
        <w:t xml:space="preserve"> </w:t>
      </w:r>
      <w:r>
        <w:t xml:space="preserve">from the literature, carrying its extraction error and its uncertainty about transfer, improves</w:t>
      </w:r>
      <w:r>
        <w:t xml:space="preserve"> </w:t>
      </w:r>
      <w:r>
        <w:rPr>
          <w:bCs/>
          <w:b/>
        </w:rPr>
        <w:t xml:space="preserve">operational forecasts at cold start under strict historical information constraints</w:t>
      </w:r>
      <w:r>
        <w:t xml:space="preserve">, and whether harmful borrowing is detected in time to act.</w:t>
      </w:r>
    </w:p>
    <w:p>
      <w:pPr>
        <w:pStyle w:val="BodyText"/>
      </w:pPr>
      <w:r>
        <w:rPr>
          <w:bCs/>
          <w:b/>
        </w:rPr>
        <w:t xml:space="preserve">Parameter values are not the only thing the literature transfers.</w:t>
      </w:r>
      <w:r>
        <w:t xml:space="preserve"> </w:t>
      </w:r>
      <w:r>
        <w:t xml:space="preserve">It also carries</w:t>
      </w:r>
      <w:r>
        <w:t xml:space="preserve"> </w:t>
      </w:r>
      <w:r>
        <w:rPr>
          <w:bCs/>
          <w:b/>
        </w:rPr>
        <w:t xml:space="preserve">explanatory variables and their lag structures</w:t>
      </w:r>
      <w:r>
        <w:t xml:space="preserve">,</w:t>
      </w:r>
      <w:r>
        <w:t xml:space="preserve"> </w:t>
      </w:r>
      <w:r>
        <w:rPr>
          <w:bCs/>
          <w:b/>
        </w:rPr>
        <w:t xml:space="preserve">evidence on model forms</w:t>
      </w:r>
      <w:r>
        <w:t xml:space="preserve"> </w:t>
      </w:r>
      <w:r>
        <w:t xml:space="preserve">(which algorithm families work for which crisis type and horizon) and</w:t>
      </w:r>
      <w:r>
        <w:t xml:space="preserve"> </w:t>
      </w:r>
      <w:r>
        <w:rPr>
          <w:bCs/>
          <w:b/>
        </w:rPr>
        <w:t xml:space="preserve">definitions of outcomes and thresholds</w:t>
      </w:r>
      <w:r>
        <w:t xml:space="preserve">. Living systematic reviews keep such syntheses current [Elliott 2014], yet to my knowledge no operational forecasting framework draws on these objects systematically.</w:t>
      </w:r>
    </w:p>
    <w:p>
      <w:pPr>
        <w:pStyle w:val="BodyText"/>
      </w:pPr>
      <w:r>
        <w:rPr>
          <w:bCs/>
          <w:b/>
        </w:rPr>
        <w:t xml:space="preserve">Extraction.</w:t>
      </w:r>
      <w:r>
        <w:t xml:space="preserve"> </w:t>
      </w:r>
      <w:r>
        <w:t xml:space="preserve">Automated extraction makes synthesis at scale feasible, but extracting numbers remains less reliable than extracting categories (reported accuracy roughly 47–88% versus 74–96%), and omissions dominate the errors [Shankar 2026]. The open question is whether extraction and pooling preserve the spread of values that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policies. Formal transportability tools exist [Bareinboim 2016; Dahabreh 2020; Degtiar 2023], but none is integrated into an operational cold-start framework.</w:t>
      </w:r>
    </w:p>
    <w:bookmarkEnd w:id="22"/>
    <w:bookmarkStart w:id="23" w:name="Xb2abd553abd1fef18618859337bc64f468c8dc0"/>
    <w:p>
      <w:pPr>
        <w:pStyle w:val="Heading3"/>
      </w:pPr>
      <w:r>
        <w:t xml:space="preserve">2.1.3 Escalation can be represented as a state, not only as a point forecast</w:t>
      </w:r>
    </w:p>
    <w:p>
      <w:pPr>
        <w:pStyle w:val="FirstParagraph"/>
      </w:pPr>
      <w:r>
        <w:t xml:space="preserve">Emergency operations often need an interpretable state of escalation (for instance routine, elevated, strained, critical) more than tomorrow's count. Latent-state representations are established in surveillance. Poisson hidden Markov models distinguish epidemic from non-epidemic periods [Le Strat 1999; Watkins 2009], and extreme-value methods describe rare critical exceedances [Coles 2001], including congestion in Swiss hospitals [Ranjbar 2022]. In this project they serve one purpose, a latent ordered state as the</w:t>
      </w:r>
      <w:r>
        <w:t xml:space="preserve"> </w:t>
      </w:r>
      <w:r>
        <w:rPr>
          <w:bCs/>
          <w:b/>
        </w:rPr>
        <w:t xml:space="preserve">common representation in which evidence borrowing is tested at crisis onset</w:t>
      </w:r>
      <w:r>
        <w:t xml:space="preserve">. Mechanistic transmission models [Keeling 2008] enter as components only where the crisis is epidemiological, because environmental crises such as heat are driven by exposure and response, not by transmission. Critical-slowing-down theory (rising variance and lag-1 autocorrelation before some transitions [Scheffer 2009], applied to epidemics [O'Regan 2013; Brett 2018; Southall 2021]) reads the shape of a short recent series and is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A forecast is useful only when its probabilistic gain changes a defensible decision. Proper scoring rules reward calibration [Gneiting 2007], but decision-analytic methods evaluate predictions under explicit consequences [Vickers 2006]. Heat thresholds calibrated on mortality need not match thresholds for demand [Lung 2021], and pollution–asthma emergency associations vary across settings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infrastructure for epidemic intelligence (including GeoAI4EI, in which I take part), and the Franco-Swiss GESICA programme builds cross-border crisis intelligence. None of their stated objectives asks whether automatically synthesised external evidence should enter a forecast as formal prior information at local cold start. Nobody has established whether these pieces connect around the</w:t>
      </w:r>
      <w:r>
        <w:t xml:space="preserve"> </w:t>
      </w:r>
      <w:r>
        <w:rPr>
          <w:bCs/>
          <w:b/>
        </w:rPr>
        <w:t xml:space="preserve">cold-start question</w:t>
      </w:r>
      <w:r>
        <w:t xml:space="preserve">, under pre-registered rules, from living evidence synthesis to forecasts that re-validate themselves automatically.</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it is what makes this project tractable. I spent fifteen years in quantitative finance, working on risk, extreme values, regime models and stress testing, and then completed a doctorate in biomedical sciences at Geneva (defended 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 characteristics across East and Southern Africa and established where models transported between countries. [Merzouki 2021] and [Esra 2023] developed the theme. I now</w:t>
      </w:r>
      <w:r>
        <w:t xml:space="preserve"> </w:t>
      </w:r>
      <w:r>
        <w:rPr>
          <w:bCs/>
          <w:b/>
        </w:rPr>
        <w:t xml:space="preserve">senior-author</w:t>
      </w:r>
      <w:r>
        <w:t xml:space="preserve"> </w:t>
      </w:r>
      <w:r>
        <w:t xml:space="preserve">that line, as last author of [Ng'ambi 2026] (accepted) on cardiovascular-disease classification across harmonised WHO STEPS surveys, and my role has moved from conducting to directing. I met this proposal's transportability problem first there.</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that runs a natural-language or Boolean query across open databases, removes duplicates, maps the corpus and suggests relevant papers iteratively. I led its development with</w:t>
      </w:r>
      <w:r>
        <w:t xml:space="preserve"> </w:t>
      </w:r>
      <w:r>
        <w:rPr>
          <w:bCs/>
          <w:b/>
        </w:rPr>
        <w:t xml:space="preserve">Aziza Merzouki</w:t>
      </w:r>
      <w:r>
        <w:t xml:space="preserve"> </w:t>
      </w:r>
      <w:r>
        <w:t xml:space="preserve">(PhD, computer science) and raised its funding on my own initiative, with</w:t>
      </w:r>
      <w:r>
        <w:t xml:space="preserve"> </w:t>
      </w:r>
      <w:r>
        <w:rPr>
          <w:bCs/>
          <w:b/>
        </w:rPr>
        <w:t xml:space="preserve">CHF 30,000</w:t>
      </w:r>
      <w:r>
        <w:t xml:space="preserve"> </w:t>
      </w:r>
      <w:r>
        <w:t xml:space="preserve">from UNIGE,</w:t>
      </w:r>
      <w:r>
        <w:t xml:space="preserve"> </w:t>
      </w:r>
      <w:r>
        <w:rPr>
          <w:bCs/>
          <w:b/>
        </w:rPr>
        <w:t xml:space="preserve">CHF 10,000</w:t>
      </w:r>
      <w:r>
        <w:t xml:space="preserve"> </w:t>
      </w:r>
      <w:r>
        <w:t xml:space="preserve">from Venture Kick and</w:t>
      </w:r>
      <w:r>
        <w:t xml:space="preserve"> </w:t>
      </w:r>
      <w:r>
        <w:rPr>
          <w:bCs/>
          <w:b/>
        </w:rPr>
        <w:t xml:space="preserve">CHF 20,000</w:t>
      </w:r>
      <w:r>
        <w:t xml:space="preserve"> </w:t>
      </w:r>
      <w:r>
        <w:t xml:space="preserve">from Mimosa, outside any group grant. The systematic review of AI in emergency medical services [Edjinedja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 sub-lineages in a Swiss tertiary centre. [Estill 2020] built age-structured scenario models for the Swiss SARS-CoV-2 epidemic under the time pressure of planning, and this proposal's question comes from that experience. I also contributed to WHO African Region 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which extends LiteRev into structured quantitative extraction and modelling. The full review pipeline runs in working form. A query is searched live across the open literature, the results are deduplicated, screened with PRISMA accounting and extracted for PICO elements, and the numbers are then</w:t>
      </w:r>
      <w:r>
        <w:t xml:space="preserve"> </w:t>
      </w:r>
      <w:r>
        <w:rPr>
          <w:bCs/>
          <w:b/>
        </w:rPr>
        <w:t xml:space="preserve">extracted with their provenance, graded for the certainty of the study design and pooled into parameter distributions</w:t>
      </w:r>
      <w:r>
        <w:t xml:space="preserve">. At the model step the tool proposes candidate explanatory variables with their supporting articles and typed outcome definitions with ready-made emergency-demand targets (ED overload, bed occupancy, call surge). It</w:t>
      </w:r>
      <w:r>
        <w:t xml:space="preserve"> </w:t>
      </w:r>
      <w:r>
        <w:rPr>
          <w:bCs/>
          <w:b/>
        </w:rPr>
        <w:t xml:space="preserve">fits models across algorithm families with automated hyperparameter search, validates them on time series without leakage and ranks them on a stated metric</w:t>
      </w:r>
      <w:r>
        <w:t xml:space="preserve">, and it builds compartmental components, parameterised from extracted ranges, that can re-enter the statistical model as predictors.</w:t>
      </w:r>
      <w:r>
        <w:t xml:space="preserve"> </w:t>
      </w:r>
      <w:r>
        <w:rPr>
          <w:bCs/>
          <w:b/>
        </w:rPr>
        <w:t xml:space="preserve">Living reviews re-run on schedule</w:t>
      </w:r>
      <w:r>
        <w:t xml:space="preserve"> </w:t>
      </w:r>
      <w:r>
        <w:t xml:space="preserve">for each scenario, and every update is previewed before it is applied. This is the evidence-to-model loop the proposal interrogates, in prototype form.</w:t>
      </w:r>
    </w:p>
    <w:p>
      <w:pPr>
        <w:pStyle w:val="BodyText"/>
      </w:pPr>
      <w:r>
        <w:t xml:space="preserve">For GESICA I built the data foundation of the Geneva–Vaud–Neuchâtel network, whose Geneva core COLDSTART uses. It covers</w:t>
      </w:r>
      <w:r>
        <w:t xml:space="preserve"> </w:t>
      </w:r>
      <w:r>
        <w:rPr>
          <w:bCs/>
          <w:b/>
        </w:rPr>
        <w:t xml:space="preserve">77 notifiable diseases in eight model classes</w:t>
      </w:r>
      <w:r>
        <w:t xml:space="preserve"> </w:t>
      </w:r>
      <w:r>
        <w:t xml:space="preserve">and a referenced inventory of</w:t>
      </w:r>
      <w:r>
        <w:t xml:space="preserve"> </w:t>
      </w:r>
      <w:r>
        <w:rPr>
          <w:bCs/>
          <w:b/>
        </w:rPr>
        <w:t xml:space="preserve">28 surveillance sources</w:t>
      </w:r>
      <w:r>
        <w:t xml:space="preserve"> </w:t>
      </w:r>
      <w:r>
        <w:t xml:space="preserve">(23 infectious, 5 environmental), each documented for coverage, resolution, latency, access and quality. The data landscape is mapped, not assumed.</w:t>
      </w:r>
    </w:p>
    <w:p>
      <w:pPr>
        <w:pStyle w:val="BodyText"/>
      </w:pPr>
      <w:r>
        <w:rPr>
          <w:bCs/>
          <w:b/>
        </w:rPr>
        <w:t xml:space="preserve">The prototype makes the research feasible rather than aspirational.</w:t>
      </w:r>
      <w:r>
        <w:t xml:space="preserve"> </w:t>
      </w:r>
      <w:r>
        <w:t xml:space="preserve">The fit, tune and rank mechanics that T3.3's selection engine registers already run in embryonic form. The grant adds the science (two arms, registered rules, episode-level inference), not the plumbing.</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 granted) that links confirmed legionellosis cases in Geneva to individual domestic hot-water installations. This distinctive linkage supplies a contrasting waterborne archetype.</w:t>
      </w:r>
    </w:p>
    <w:p>
      <w:pPr>
        <w:pStyle w:val="BodyText"/>
      </w:pPr>
      <w:r>
        <w:rPr>
          <w:bCs/>
          <w:b/>
        </w:rPr>
        <w:t xml:space="preserve">Competences.</w:t>
      </w:r>
      <w:r>
        <w:t xml:space="preserve"> </w:t>
      </w:r>
      <w:r>
        <w:t xml:space="preserve">Bayesian hierarchical and regime-switching estimation, extreme-value modelling, stress testing under misspecification, forecast evaluation and decision analysis come from the risk work and form the core of WP2 and WP3. Extraction and pooling come from LiteRev-Evidence. Domain knowledge comes from the doctorate, the Swiss COVID-19 work and GESICA.</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The objective is to determine</w:t>
      </w:r>
      <w:r>
        <w:t xml:space="preserve"> </w:t>
      </w:r>
      <w:r>
        <w:rPr>
          <w:bCs/>
          <w:b/>
        </w:rPr>
        <w:t xml:space="preserve">whether, and under what conditions, published quantitative evidence improves forecasts at the onset of a health-system crisis.</w:t>
      </w:r>
      <w:r>
        <w:t xml:space="preserve"> </w:t>
      </w:r>
      <w:r>
        <w:t xml:space="preserve">The summary's question is</w:t>
      </w:r>
      <w:r>
        <w:t xml:space="preserve"> </w:t>
      </w:r>
      <w:r>
        <w:rPr>
          <w:bCs/>
          <w:b/>
        </w:rPr>
        <w:t xml:space="preserve">H3a, the central hypothesis</w:t>
      </w:r>
      <w:r>
        <w:t xml:space="preserve">. Each other row validates one link of the chain it depends on.</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The cold-start problem, the evidence pipeline, the model library with automated selection, and the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is assessed by a pre-specified criterion, coverage and calibration of intervals from the corrected distribution across held-out adjudicated studies.</w:t>
      </w:r>
    </w:p>
    <w:p>
      <w:pPr>
        <w:pStyle w:val="FirstParagraph"/>
      </w:pPr>
      <w:r>
        <w:t xml:space="preserve">Omissions dominate reported extraction errors [Shankar 2026], and whether they systematically shrink dispersion is exactly what H1 tests. If the loss cannot be corrected, that is a boundary condition. The evidence target spans four object classes (T1.1). H1 is tested on the quantitative core, and classes 2 to 4 are validated externally against published syntheses (T1.2).</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to be the common state representation in which borrowing strategies are compared. It is not a claim that regime switching generally beats thresholding a point forecast.</w:t>
      </w:r>
    </w:p>
    <w:p>
      <w:pPr>
        <w:pStyle w:val="FirstParagraph"/>
      </w:pPr>
      <w:r>
        <w:t xml:space="preserve">T2.1's identifiability study and T3.3's calibration checks either establish adequacy or trigger the ordinal fallback, and either outcome leaves H3a intact. Extreme-value modelling covers the critical tail, and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explanatory-variable sets and model forms) improves probabilistic forecast skill during the early phase of a crisis. How long the advantage persists, and how it decays as local observations accumulate, is assessed secondarily.</w:t>
      </w:r>
    </w:p>
    <w:p>
      <w:pPr>
        <w:pStyle w:val="BlockText"/>
      </w:pPr>
      <w:r>
        <w:rPr>
          <w:bCs/>
          <w:b/>
        </w:rPr>
        <w:t xml:space="preserve">H3b.</w:t>
      </w:r>
      <w:r>
        <w:t xml:space="preserve"> </w:t>
      </w:r>
      <w:r>
        <w:t xml:space="preserve">Adaptive borrowing, which discounts the evidence when conflict between prior and data emerges, is</w:t>
      </w:r>
      <w:r>
        <w:t xml:space="preserve"> </w:t>
      </w:r>
      <w:r>
        <w:rPr>
          <w:bCs/>
          <w:b/>
        </w:rPr>
        <w:t xml:space="preserve">non-inferior</w:t>
      </w:r>
      <w:r>
        <w:t xml:space="preserve"> </w:t>
      </w:r>
      <w:r>
        <w:t xml:space="preserve">to fixed borrowing under well-specified priors, within a pre-specified margin Δ on the CRPS skill score (the CRPS is a standard score for probabilistic forecasts), and is</w:t>
      </w:r>
      <w:r>
        <w:t xml:space="preserve"> </w:t>
      </w:r>
      <w:r>
        <w:rPr>
          <w:bCs/>
          <w:b/>
        </w:rPr>
        <w:t xml:space="preserve">superior</w:t>
      </w:r>
      <w:r>
        <w:t xml:space="preserve"> </w:t>
      </w:r>
      <w:r>
        <w:t xml:space="preserve">to fixed borrowing under deliberately misspecified priors.</w:t>
      </w:r>
    </w:p>
    <w:p>
      <w:pPr>
        <w:pStyle w:val="FirstParagraph"/>
      </w:pPr>
      <w:r>
        <w:t xml:space="preserve">Δ is fixed at one half of the minimal relevant H3a improvement, a pre-specified 50% preservation fraction. Adaptive borrowing must retain at least half the gain that justifies borrowing at all, so Δ is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 and trend when the outcome history is short.</w:t>
      </w:r>
    </w:p>
    <w:p>
      <w:pPr>
        <w:pStyle w:val="FirstParagraph"/>
      </w:pPr>
      <w:r>
        <w:rPr>
          <w:bCs/>
          <w:b/>
        </w:rPr>
        <w:t xml:space="preserve">Primary confirmatory comparison, stated once.</w:t>
      </w:r>
      <w:r>
        <w:t xml:space="preserve"> </w:t>
      </w:r>
      <w:r>
        <w:t xml:space="preserve">The</w:t>
      </w:r>
      <w:r>
        <w:t xml:space="preserve"> </w:t>
      </w:r>
      <w:r>
        <w:rPr>
          <w:bCs/>
          <w:b/>
        </w:rPr>
        <w:t xml:space="preserve">evidence-informed champion</w:t>
      </w:r>
      <w:r>
        <w:t xml:space="preserve"> </w:t>
      </w:r>
      <w:r>
        <w:t xml:space="preserve">is compared with the</w:t>
      </w:r>
      <w:r>
        <w:t xml:space="preserve"> </w:t>
      </w:r>
      <w:r>
        <w:rPr>
          <w:bCs/>
          <w:b/>
        </w:rPr>
        <w:t xml:space="preserve">local-only champion</w:t>
      </w:r>
      <w:r>
        <w:t xml:space="preserve">, both produced by the identical pre-registered automated procedure (T3.3), on the</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and this fixed order controls the family-wise error rate. The</w:t>
      </w:r>
      <w:r>
        <w:t xml:space="preserve"> </w:t>
      </w:r>
      <w:r>
        <w:rPr>
          <w:bCs/>
          <w:b/>
        </w:rPr>
        <w:t xml:space="preserve">shape of the advantage as local data accumulate</w:t>
      </w:r>
      <w:r>
        <w:t xml:space="preserve"> </w:t>
      </w:r>
      <w:r>
        <w:t xml:space="preserve">is reported, and it should decay to nothing.</w:t>
      </w:r>
    </w:p>
    <w:bookmarkEnd w:id="39"/>
    <w:bookmarkStart w:id="40" w:name="Xbbd82cf2a88d039e0723082c8af86f135f38055"/>
    <w:p>
      <w:pPr>
        <w:pStyle w:val="Heading4"/>
      </w:pPr>
      <w:r>
        <w:t xml:space="preserve">O4. Establish whether predictive improvement matters for decisions</w:t>
      </w:r>
    </w:p>
    <w:p>
      <w:pPr>
        <w:pStyle w:val="BlockText"/>
      </w:pPr>
      <w:r>
        <w:rPr>
          <w:bCs/>
          <w:b/>
        </w:rPr>
        <w:t xml:space="preserve">H4.</w:t>
      </w:r>
      <w:r>
        <w:t xml:space="preserve"> </w:t>
      </w:r>
      <w:r>
        <w:t xml:space="preserve">For the demand-based archetypes, decision-analytic evaluation under responders' losses and escalation thresholds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w:t>
      </w:r>
      <w:r>
        <w:t xml:space="preserve">carry the primary confirmatory test. SARS-CoV-2, influenza and RSV overlap syndromically and are surveilled together in Switzerland. (2)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 pollution (ozone, PM10) as co-exposure and effect modifier</w:t>
      </w:r>
      <w:r>
        <w:t xml:space="preserve">, not as a separate domain. (3)</w:t>
      </w:r>
      <w:r>
        <w:t xml:space="preserve"> </w:t>
      </w:r>
      <w:r>
        <w:rPr>
          <w:bCs/>
          <w:b/>
        </w:rPr>
        <w:t xml:space="preserve">Waterborne outbreaks</w:t>
      </w:r>
      <w:r>
        <w:t xml:space="preserve">, through Geneva legionellosis, form the contrasting extension in year 4 (T3.5). Further data serve benchmarking and sensitivity analyses only. For respiratory and heat, both arms score</w:t>
      </w:r>
      <w:r>
        <w:t xml:space="preserve"> </w:t>
      </w:r>
      <w:r>
        <w:rPr>
          <w:bCs/>
          <w:b/>
        </w:rPr>
        <w:t xml:space="preserve">the same quantity, built the same way</w:t>
      </w:r>
      <w:r>
        <w:t xml:space="preserve">, namely daily emergency demand from the CASU-144 series restricted to the archetype's cause classes (T3.0). For epidemics this is respiratory-related demand. For heat it is</w:t>
      </w:r>
      <w:r>
        <w:t xml:space="preserve"> </w:t>
      </w:r>
      <w:r>
        <w:rPr>
          <w:bCs/>
          <w:b/>
        </w:rPr>
        <w:t xml:space="preserve">heat-sensitive demand</w:t>
      </w:r>
      <w:r>
        <w:t xml:space="preserve">, because Swiss evidence places heat effects in dehydration, renal and psychiatric admissions, with a weak respiratory effect at older ages [Schulte 2024; Ragettli 2019]. Legionellosis instead forecasts case incidence (T3.5), outside this demand comparison. If the month-12 gate activates the registered fallback, both arms score it, built the same way, and the claim narrows.</w:t>
      </w:r>
    </w:p>
    <w:bookmarkEnd w:id="41"/>
    <w:bookmarkStart w:id="42" w:name="what-the-project-does-not-claim"/>
    <w:p>
      <w:pPr>
        <w:pStyle w:val="Heading4"/>
      </w:pPr>
      <w:r>
        <w:t xml:space="preserve">What the project does not claim</w:t>
      </w:r>
    </w:p>
    <w:p>
      <w:pPr>
        <w:pStyle w:val="FirstParagraph"/>
      </w:pPr>
      <w:r>
        <w:t xml:space="preserve">The project does</w:t>
      </w:r>
      <w:r>
        <w:t xml:space="preserve"> </w:t>
      </w:r>
      <w:r>
        <w:rPr>
          <w:bCs/>
          <w:b/>
        </w:rPr>
        <w:t xml:space="preserve">not</w:t>
      </w:r>
      <w:r>
        <w:t xml:space="preserve"> </w:t>
      </w:r>
      <w:r>
        <w:t xml:space="preserve">aim to outperform forecast hubs in the data-rich regime, and it does not assume that literature-derived priors are beneficial. Its contribution is to establish</w:t>
      </w:r>
      <w:r>
        <w:t xml:space="preserve"> </w:t>
      </w:r>
      <w:r>
        <w:rPr>
          <w:bCs/>
          <w:b/>
        </w:rPr>
        <w:t xml:space="preserve">whether accumulated quantitative evidence can earn a formal role in forecasting before local outcome data become informative, together with a map of when it should not be trusted.</w: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classes of objects</w:t>
      </w:r>
      <w:r>
        <w:t xml:space="preserve">, and the inclusion criteria, effect measures, representation of uncertainty and transportability variables are fixed before extraction begins.</w:t>
      </w:r>
      <w:r>
        <w:t xml:space="preserve"> </w:t>
      </w:r>
      <w:r>
        <w:rPr>
          <w:bCs/>
          <w:b/>
        </w:rPr>
        <w:t xml:space="preserve">(1) Parameter values, the quantitative core, benchmarked in full.</w:t>
      </w:r>
      <w:r>
        <w:t xml:space="preserve"> </w:t>
      </w:r>
      <w:r>
        <w:t xml:space="preserve">They comprise 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 and</w:t>
      </w:r>
      <w:r>
        <w:t xml:space="preserve"> </w:t>
      </w:r>
      <w:r>
        <w:rPr>
          <w:bCs/>
          <w:b/>
        </w:rPr>
        <w:t xml:space="preserve">admission fractions</w:t>
      </w:r>
      <w:r>
        <w:t xml:space="preserve">. Transmission parameters (R0/Rt, serial interval) and shedding-to-incidence conversions are secondary.</w:t>
      </w:r>
      <w:r>
        <w:t xml:space="preserve"> </w:t>
      </w:r>
      <w:r>
        <w:rPr>
          <w:bCs/>
          <w:b/>
        </w:rPr>
        <w:t xml:space="preserve">(2) Explanatory variables and lag structures</w:t>
      </w:r>
      <w:r>
        <w:t xml:space="preserve"> </w:t>
      </w:r>
      <w:r>
        <w:t xml:space="preserve">reported as informative for each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Classes 2 to 4 carry provenance and certainty grades and are pursued only as inputs to the registered H3a configuration, and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An independent, separately contracted extractor (§2.4) and I each extract the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Automated extraction is compared with the benchmark on point estimates, uncertainty, omissions and between-study dispersion. H1's primary metric is the median log-ratio of the automated to the adjudicated</w:t>
      </w:r>
      <w:r>
        <w:t xml:space="preserve"> </w:t>
      </w:r>
      <w:r>
        <w:rPr>
          <w:bCs/>
          <w:b/>
        </w:rPr>
        <w:t xml:space="preserve">standard deviation of the evidence-derived distribution</w:t>
      </w:r>
      <w:r>
        <w:t xml:space="preserve">, per parameter class on a common scale under the registered pooling model, with a pre-specified interval (a ratio below one means under-dispersion). Within-study uncertainty and between-study heterogeneity are propagated separately and jointly, with sensitivity to the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Extraction error is represented explicitly as measurement error. The task compares inverse-variance and quality-weighted pooling, meta-analytic-predictive priors and power-prior discounting. The output is a prior with its provenance, its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The task characterises effect modifiers and study-setting differences relevant to Geneva. The transportability criteria, and the mapping from a transportability score to a wider or discounted prior, are fixed before the confirmatory evaluation and produce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The state model is a Bayesian hierarchical Markov regime-switching model [Hamilton 1989] with an ordinal latent state (by default routine, elevated, strained, critical), observed through emergency calls (the primary channel) with ED presentations and ICU occupancy added where available, with pre-specified weather, calendar and epidemic covariates and series-specific observation models sharing the state. Before any real data are fitted, simulation establishes identifiability and recovery, including the case with fewer channels, and ordering constraints resolve label switching. If separation is insufficient, the fallback is an ordinal state-space formulation. The criterion is the recovery of states and transitions, not visual fit.</w:t>
      </w:r>
      <w:r>
        <w:t xml:space="preserve"> </w:t>
      </w:r>
      <w:r>
        <w:rPr>
          <w:bCs/>
          <w:b/>
        </w:rPr>
        <w:t xml:space="preserve">State anchors.</w:t>
      </w:r>
      <w:r>
        <w:t xml:space="preserve"> </w:t>
      </w:r>
      <w:r>
        <w:t xml:space="preserve">The number of levels and their thresholds start from the outcome and threshold definitions the literature reports (T1.1, class 4) and are fixed at registration for WP2–WP3 (T4.1's later elicitation refines their decision interpretation, never the confirmatory state definition). Where the literature is silent, the default is four levels on the seasonal baseline.</w:t>
      </w:r>
      <w:r>
        <w:t xml:space="preserve"> </w:t>
      </w:r>
      <w:r>
        <w:rPr>
          <w:bCs/>
          <w:b/>
        </w:rPr>
        <w:t xml:space="preserve">Routine</w:t>
      </w:r>
      <w:r>
        <w:t xml:space="preserve"> </w:t>
      </w:r>
      <w:r>
        <w:t xml:space="preserve">lies below the 75th percentile,</w:t>
      </w:r>
      <w:r>
        <w:t xml:space="preserve"> </w:t>
      </w:r>
      <w:r>
        <w:rPr>
          <w:bCs/>
          <w:b/>
        </w:rPr>
        <w:t xml:space="preserve">elevated</w:t>
      </w:r>
      <w:r>
        <w:t xml:space="preserve"> </w:t>
      </w:r>
      <w:r>
        <w:t xml:space="preserve">between the 75th and the 90th,</w:t>
      </w:r>
      <w:r>
        <w:t xml:space="preserve"> </w:t>
      </w:r>
      <w:r>
        <w:rPr>
          <w:bCs/>
          <w:b/>
        </w:rPr>
        <w:t xml:space="preserve">strained</w:t>
      </w:r>
      <w:r>
        <w:t xml:space="preserve"> </w:t>
      </w:r>
      <w:r>
        <w:t xml:space="preserve">between the 90th and the 97.5th or under sustained capacity pressure (ICU occupancy above 85%, ED boarding above its seasonal 90th percentile), and</w:t>
      </w:r>
      <w:r>
        <w:t xml:space="preserve"> </w:t>
      </w:r>
      <w:r>
        <w:rPr>
          <w:bCs/>
          <w:b/>
        </w:rPr>
        <w:t xml:space="preserve">critical</w:t>
      </w:r>
      <w:r>
        <w:t xml:space="preserve"> </w:t>
      </w:r>
      <w:r>
        <w:t xml:space="preserve">above the 97.5th or at capacity saturation. The highest applicable state prevails, and capacity saturation alone defines critical. Anchors are percentile-based per event type and enter estimation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Rare exceedances are modelled with peaks over threshold and the generalised Pareto distribution, coupled to the critical-state probability, with threshold sensitivity reported, as supporting work rather than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WP1's distributions are mapped to the parameters where published evidence is relevant (weather effects, surge magnitudes, transition characteristics), and weakly informative, fixed evidence-derived and adaptive robust borrowing are compared. The adaptive specification is a robust mixture of an evidence-derived and a weakly informative component. The conflict statistic and the discount function are fixed before the confirmatory evaluation and are not tuned during it. Power-prior and commensurate-prior approaches serve as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 as optional covariates on the transition dynamics. Do they add information beyond level, 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uses methods suited to temporal dependence, with a conformal component [Angelopoulos 2023; Barber 2023] as a robustness layer if simulation confirms its assumptions. The task also builds the</w:t>
      </w:r>
      <w:r>
        <w:t xml:space="preserve"> </w:t>
      </w:r>
      <w:r>
        <w:rPr>
          <w:bCs/>
          <w:b/>
        </w:rPr>
        <w:t xml:space="preserve">automation layer</w:t>
      </w:r>
      <w:r>
        <w:t xml:space="preserve">. Public streams (weather, surveillance, wastewater) are ingested automatically as they become available, models are re-estimated at each input's native cadence with versioned re-fitting, and</w:t>
      </w:r>
      <w:r>
        <w:t xml:space="preserve"> </w:t>
      </w:r>
      <w:r>
        <w:rPr>
          <w:bCs/>
          <w:b/>
        </w:rPr>
        <w:t xml:space="preserve">assumption and validity diagnostics</w:t>
      </w:r>
      <w:r>
        <w:t xml:space="preserve"> </w:t>
      </w:r>
      <w:r>
        <w:t xml:space="preserve">run on every fit (residual structure, dispersion, calibration), so that a model failing its checks is excluded by pre-registered rules. A reference implementation is released in LiteRev-Evidence.</w:t>
      </w:r>
    </w:p>
    <w:p>
      <w:pPr>
        <w:pStyle w:val="BodyText"/>
      </w:pPr>
      <w:r>
        <w:rPr>
          <w:bCs/>
          <w:b/>
        </w:rPr>
        <w:t xml:space="preserve">Simulation is prior information, not data.</w:t>
      </w:r>
      <w:r>
        <w:t xml:space="preserve"> </w:t>
      </w:r>
      <w:r>
        <w:t xml:space="preserve">Fitting trajectories parameterised from the literature as if they were data would count the same information twice and disable the conflict diagnostic H3b depends on. Simulation therefore serves identifiability, structural constraints and prior predictive checks, and it never tightens the evidence prior.</w:t>
      </w:r>
    </w:p>
    <w:p>
      <w:pPr>
        <w:pStyle w:val="BodyText"/>
      </w:pPr>
      <w:r>
        <w:rPr>
          <w:bCs/>
          <w:b/>
        </w:rPr>
        <w:t xml:space="preserve">Deliverables.</w:t>
      </w:r>
      <w:r>
        <w:t xml:space="preserve"> </w:t>
      </w:r>
      <w:r>
        <w:t xml:space="preserve">D2.1 specification and identifiability study, D2.2 open code, D2.3 methods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comes first, the ordinal fallback is ready, and the identifiability boundary is reported as a result rather than tuned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All of this is fixed before any evaluation is designed and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It rests on a pre-registered classification of recorded call reasons and urgency levels.</w:t>
      </w:r>
      <w:r>
        <w:t xml:space="preserve"> </w:t>
      </w:r>
      <w:r>
        <w:rPr>
          <w:bCs/>
          <w:b/>
        </w:rPr>
        <w:t xml:space="preserve">The heat arm scores heat-sensitive demand</w:t>
      </w:r>
      <w:r>
        <w:t xml:space="preserve">, built from the same series in the same way and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and wastewater, sentinel consultations and weather enter as covariates.</w:t>
      </w:r>
    </w:p>
    <w:p>
      <w:pPr>
        <w:pStyle w:val="BodyText"/>
      </w:pPr>
      <w:r>
        <w:rPr>
          <w:bCs/>
          <w:b/>
        </w:rPr>
        <w:t xml:space="preserve">Candidate outcome set and geography.</w:t>
      </w:r>
      <w:r>
        <w:t xml:space="preserve"> </w:t>
      </w:r>
      <w:r>
        <w:t xml:space="preserve">The pre-registered candidates, in hierarchy order, are (1) cause-filtered CASU-144 emergency demand, the primary outcome, (2) ED presentations by category, (3) ICU occupancy and (4) all-cause 144 engagements and hospital admissions as sensitivity series. Open surveillance (Sentinella, wastewater) serves as a fallback outcome only. The unit is the</w:t>
      </w:r>
      <w:r>
        <w:t xml:space="preserve"> </w:t>
      </w:r>
      <w:r>
        <w:rPr>
          <w:bCs/>
          <w:b/>
        </w:rPr>
        <w:t xml:space="preserve">canton of Geneva at daily resolution</w:t>
      </w:r>
      <w:r>
        <w:t xml:space="preserve"> </w:t>
      </w:r>
      <w:r>
        <w:t xml:space="preserve">(the HUG centrale's coverage area), and generalisation comes from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and a gate at month 12 confirms them. If they are not met, the pre-specified fallback activates and the claim narrows.</w:t>
      </w:r>
    </w:p>
    <w:p>
      <w:pPr>
        <w:pStyle w:val="BodyText"/>
      </w:pPr>
      <w:r>
        <w:rPr>
          <w:bCs/>
          <w:b/>
        </w:rPr>
        <w:t xml:space="preserve">Episode eligibility.</w:t>
      </w:r>
      <w:r>
        <w:t xml:space="preserve"> </w:t>
      </w:r>
      <w:r>
        <w:t xml:space="preserve">An episode enters the confirmatory evaluation only if all of the following can be reconstructed prospectively. (1) An onset detectable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Episodes that fail serve sensitivity analysis only.</w:t>
      </w:r>
      <w:r>
        <w:t xml:space="preserve"> </w:t>
      </w:r>
      <w:r>
        <w:rPr>
          <w:bCs/>
          <w:b/>
        </w:rPr>
        <w:t xml:space="preserve">At the level of demand, co-circulating pathogens form one episode.</w:t>
      </w:r>
    </w:p>
    <w:p>
      <w:pPr>
        <w:pStyle w:val="BodyText"/>
      </w:pPr>
      <w:r>
        <w:rPr>
          <w:bCs/>
          <w:b/>
        </w:rPr>
        <w:t xml:space="preserve">Two registration points.</w:t>
      </w:r>
      <w:r>
        <w:t xml:space="preserve"> </w:t>
      </w:r>
      <w:r>
        <w:t xml:space="preserve">The hierarchy, the gate criteria and the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that require no agreement (federal respiratory surveillance, the national wastewater programme, weekly all-cause deaths, MeteoSwiss exposures). Archived forecasts from multi-model hubs provide contemporaneous comparators for early rounds that were genuinely cold-start [Cramer 2022; Sherratt 2023]. The track ships as a</w:t>
      </w:r>
      <w:r>
        <w:t xml:space="preserve"> </w:t>
      </w:r>
      <w:r>
        <w:rPr>
          <w:bCs/>
          <w:b/>
        </w:rPr>
        <w:t xml:space="preserve">public, re-runnable benchmark</w:t>
      </w:r>
      <w:r>
        <w:t xml:space="preserve">. Every component is thus validated before operational data arrive, the methodological test does not depend on data access, and operational series then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The CASU-144 series is harmonised with the additional channels and covariates, and completeness and delay are quantified. Right truncation is modelled with nowcasting [Höhle 2014; McGough 2020], because reporting that degrades under strain could itself mimic an early-warning signal. Two Geneva channels extend the set. The HUG COVID-19 hospitalisation data I previously analysed [Orel 2024] are re-requested as a secondary channel for respiratory validation and calibration, and pharmacy sales with wastewater measurements, via the pharmacien cantonal, serve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successive forecast origins are created that use</w:t>
      </w:r>
      <w:r>
        <w:t xml:space="preserve"> </w:t>
      </w:r>
      <w:r>
        <w:rPr>
          <w:bCs/>
          <w:b/>
        </w:rPr>
        <w:t xml:space="preserve">only the information available at that date</w:t>
      </w:r>
      <w:r>
        <w:t xml:space="preserve">.</w:t>
      </w:r>
      <w:r>
        <w:t xml:space="preserve"> </w:t>
      </w:r>
      <w:r>
        <w:rPr>
          <w:bCs/>
          <w:b/>
        </w:rPr>
        <w:t xml:space="preserve">Admissibility as a prior is defined by what a source describes, not by where it was published.</w:t>
      </w:r>
      <w:r>
        <w:t xml:space="preserve"> </w:t>
      </w:r>
      <w:r>
        <w:t xml:space="preserve">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a cut-off that moves with the origin. Timestamped situational reporting on the ongoing event</w:t>
      </w:r>
      <w:r>
        <w:t xml:space="preserve"> </w:t>
      </w:r>
      <w:r>
        <w:rPr>
          <w:iCs/>
          <w:i/>
        </w:rPr>
        <w:t xml:space="preserve">elsewhere</w:t>
      </w:r>
      <w:r>
        <w:t xml:space="preserve"> </w:t>
      </w:r>
      <w:r>
        <w:t xml:space="preserve">(WHO/ECDC) enters as a</w:t>
      </w:r>
      <w:r>
        <w:t xml:space="preserve"> </w:t>
      </w:r>
      <w:r>
        <w:rPr>
          <w:bCs/>
          <w:b/>
        </w:rPr>
        <w:t xml:space="preserve">pre-specified secondary prior variant</w:t>
      </w:r>
      <w:r>
        <w:t xml:space="preserve">, through the same extraction pipeline and outside the confirmatory contrast, because H3a tests literature borrowing, not evidence fusion.</w:t>
      </w:r>
      <w:r>
        <w:t xml:space="preserve"> </w:t>
      </w:r>
      <w:r>
        <w:rPr>
          <w:bCs/>
          <w:b/>
        </w:rPr>
        <w:t xml:space="preserve">Text describing the local event is excluded from any prior</w:t>
      </w:r>
      <w:r>
        <w:t xml:space="preserve">, since it is a noisy measurement of the outcome itself. Every input carries an index timestamp. Revised sources enter as the</w:t>
      </w:r>
      <w:r>
        <w:t xml:space="preserve"> </w:t>
      </w:r>
      <w:r>
        <w:rPr>
          <w:bCs/>
          <w:b/>
        </w:rPr>
        <w:t xml:space="preserve">release vintage available at the origin</w:t>
      </w:r>
      <w:r>
        <w:t xml:space="preserve">, never as the final revised value, with observation and release times both retained, and origins re-run automatically through the T2.5 layer at each input's native cadence. Forecast horizons are 7, 14 and 28 days. The primary horizon for each archetype is fixed at the second registration point by a pre-specified operational criterion, never by forecast performance or episode results.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is registered before any evaluation and has two arms.</w:t>
      </w:r>
      <w:r>
        <w:t xml:space="preserve"> </w:t>
      </w:r>
      <w:r>
        <w:t xml:space="preserve">The</w:t>
      </w:r>
      <w:r>
        <w:t xml:space="preserve"> </w:t>
      </w:r>
      <w:r>
        <w:rPr>
          <w:bCs/>
          <w:b/>
        </w:rPr>
        <w:t xml:space="preserve">local-only</w:t>
      </w:r>
      <w:r>
        <w:t xml:space="preserve"> </w:t>
      </w:r>
      <w:r>
        <w:t xml:space="preserve">arm holds a seasonal GLM with weekday and holiday terms, persistence, established exceedance and nowcasting methods (Farrington and Noufaily, Bayesian nowcasting [Salmon 2016]), penalised, gradient-boosted and upper-tail quantile learners on the pre-specified covariates, and the WP2 regime model with weakly informative priors. The</w:t>
      </w:r>
      <w:r>
        <w:t xml:space="preserve"> </w:t>
      </w:r>
      <w:r>
        <w:rPr>
          <w:bCs/>
          <w:b/>
        </w:rPr>
        <w:t xml:space="preserve">evidence-informed</w:t>
      </w:r>
      <w:r>
        <w:t xml:space="preserve"> </w:t>
      </w:r>
      <w:r>
        <w:t xml:space="preserve">arm holds the same candidates equipped with WP1 priors and design inputs, in three registered variants (fixed evidence-derived priors, adaptive borrowing with conflict monitoring, and adaptive borrowing plus resilience indicators, H3c).</w:t>
      </w:r>
      <w:r>
        <w:t xml:space="preserve"> </w:t>
      </w:r>
      <w:r>
        <w:rPr>
          <w:bCs/>
          <w:b/>
        </w:rPr>
        <w:t xml:space="preserve">Mechanistic transmission components [Keeling 2008] are admissible only for epidemiological archetypes.</w:t>
      </w:r>
      <w:r>
        <w:t xml:space="preserve"> </w:t>
      </w:r>
      <w:r>
        <w:t xml:space="preserve">Environmental archetypes use exposure–response structures, and admissibility per archetype is registered.</w:t>
      </w:r>
    </w:p>
    <w:p>
      <w:pPr>
        <w:pStyle w:val="BodyText"/>
      </w:pPr>
      <w:r>
        <w:rPr>
          <w:bCs/>
          <w:b/>
        </w:rPr>
        <w:t xml:space="preserve">Champion selection is automated and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that uses only inner rolling validation on outcomes observed</w:t>
      </w:r>
      <w:r>
        <w:t xml:space="preserve"> </w:t>
      </w:r>
      <w:r>
        <w:rPr>
          <w:bCs/>
          <w:b/>
        </w:rPr>
        <w:t xml:space="preserve">before</w:t>
      </w:r>
      <w:r>
        <w:t xml:space="preserve"> </w:t>
      </w:r>
      <w:r>
        <w:t xml:space="preserve">that origin. The CRPS is the primary selection criterion, log score and calibration are registered admissibility constraints rather than ranking criteria, and selection follows T2.5's validity checks, blind to the other arm. The fixed champion then issues the outer forecast. Selection never sees the outcomes it is scored on. Identical selection machinery runs in both arms, so the primary contrast tests the full evidence-informed configuration rather than a particular model family. The library is deliberately broad for selection, not for hypothesis multiplication, and registered secondary contrasts isolate the prior, variable-set and model-form components.</w:t>
      </w:r>
    </w:p>
    <w:p>
      <w:pPr>
        <w:pStyle w:val="BodyText"/>
      </w:pPr>
      <w:r>
        <w:rPr>
          <w:bCs/>
          <w:b/>
        </w:rPr>
        <w:t xml:space="preserve">Confirmatory testing procedure, in a fixed sequence.</w:t>
      </w:r>
    </w:p>
    <w:p>
      <w:pPr>
        <w:numPr>
          <w:ilvl w:val="0"/>
          <w:numId w:val="1001"/>
        </w:numPr>
        <w:pStyle w:val="Compact"/>
      </w:pPr>
      <w:r>
        <w:rPr>
          <w:bCs/>
          <w:b/>
        </w:rPr>
        <w:t xml:space="preserve">Test 1 (primary).</w:t>
      </w:r>
      <w:r>
        <w:t xml:space="preserve"> </w:t>
      </w:r>
      <w:r>
        <w:t xml:space="preserve">Evidence-informed champion against local-only champion, on the CRPS skill score, over</w:t>
      </w:r>
      <w:r>
        <w:t xml:space="preserve"> </w:t>
      </w:r>
      <w:r>
        <w:rPr>
          <w:bCs/>
          <w:b/>
        </w:rPr>
        <w:t xml:space="preserve">respiratory</w:t>
      </w:r>
      <w:r>
        <w:t xml:space="preserve"> </w:t>
      </w:r>
      <w:r>
        <w:t xml:space="preserve">episodes and the cold-start window</w:t>
      </w:r>
      <w:r>
        <w:t xml:space="preserve"> </w:t>
      </w:r>
      <w:r>
        <w:rPr>
          <w:iCs/>
          <w:i/>
        </w:rPr>
        <w:t xml:space="preserve">N</w:t>
      </w:r>
      <w:r>
        <w:t xml:space="preserve">, at α = 0.05 two-sided, because harm from borrowing is as decision-relevant as benefit. Passing requires a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w:t>
      </w:r>
      <w:r>
        <w:t xml:space="preserve">Its regime-model priors carry a pre-declared band of vaguer and tighter alternatives as a sensitivity analysis, so the comparator cannot become a straw man after the fact.</w:t>
      </w:r>
    </w:p>
    <w:p>
      <w:pPr>
        <w:pStyle w:val="BodyText"/>
      </w:pPr>
      <w:r>
        <w:rPr>
          <w:bCs/>
          <w:b/>
        </w:rPr>
        <w:t xml:space="preserve">Primary endpoint.</w:t>
      </w:r>
      <w:r>
        <w:t xml:space="preserve"> </w:t>
      </w:r>
      <w:r>
        <w:t xml:space="preserve">The aggregation is registered. For each episode and arm, the CRPS is averaged over the eligible origins in the window at the primary horizon. The episode skill score is one minus the CRPS ratio (evidence-informed over local-only), and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with an</w:t>
      </w:r>
      <w:r>
        <w:t xml:space="preserve"> </w:t>
      </w:r>
      <w:r>
        <w:rPr>
          <w:bCs/>
          <w:b/>
        </w:rPr>
        <w:t xml:space="preserve">episode-level bootstrap</w:t>
      </w:r>
      <w:r>
        <w:t xml:space="preserve"> </w:t>
      </w:r>
      <w:r>
        <w:t xml:space="preserve">alongside that resamples whole episodes, preserving their internal temporal dependence. Both are pre-specified, and any disagreement is reported.</w:t>
      </w:r>
      <w:r>
        <w:t xml:space="preserve"> </w:t>
      </w:r>
      <w:r>
        <w:rPr>
          <w:bCs/>
          <w:b/>
        </w:rPr>
        <w:t xml:space="preserve">The design is powered by simulation of its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but does not set the threshold.</w:t>
      </w:r>
      <w:r>
        <w:t xml:space="preserve"> </w:t>
      </w:r>
      <w:r>
        <w:rPr>
          <w:bCs/>
          <w:b/>
        </w:rPr>
        <w:t xml:space="preserve">Δ is registered at one half of this fixed value</w:t>
      </w:r>
      <w:r>
        <w:t xml:space="preserve"> </w:t>
      </w:r>
      <w:r>
        <w:t xml:space="preserve">(§2.3.1), and the same simulation evaluates power for these targets and the stability of the ratio-based score when baseline CRPS differs between episodes. Secondary endpoints are the log score, calibration (PIT, coverage) and escalation detection at matched false-alarm rates.</w:t>
      </w:r>
      <w:r>
        <w:t xml:space="preserve"> </w:t>
      </w:r>
      <w:r>
        <w:rPr>
          <w:bCs/>
          <w:b/>
        </w:rPr>
        <w:t xml:space="preserve">H3b's Δ is fixed here, before any evaluation.</w:t>
      </w:r>
      <w:r>
        <w:t xml:space="preserve"> </w:t>
      </w:r>
      <w:r>
        <w:t xml:space="preserve">Non-inferiority is a CRPS deficit no greater than Δ, and superiority is tested on T3.4's misspecified priors. The well-specified case is defined in registered simulations whose evidence-generating and data-generating distributions match within a set tolerance, and real episodes are complementary.</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The task identifies the episodes where borrowing improves or worsens forecasts and characterises failure by mismatch of population, outcome definition, system, policy and time, by extraction uncertainty and by conflict between prior and data. Deliberately misspecified priors (registered shifts in location, scale and transport) serve as a stress test. The safety question is whether adaptive discounting can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year-4 legionellosis extension, which transfers the borrowing framework to forecasting case incidence at outbreak onset (low counts, case-based, on the linked case-environment series).</w:t>
      </w:r>
    </w:p>
    <w:p>
      <w:pPr>
        <w:pStyle w:val="BodyText"/>
      </w:pPr>
      <w:r>
        <w:rPr>
          <w:bCs/>
          <w:b/>
        </w:rPr>
        <w:t xml:space="preserve">Deliverables.</w:t>
      </w:r>
      <w:r>
        <w:t xml:space="preserve"> </w:t>
      </w:r>
      <w:r>
        <w:t xml:space="preserve">D3.1 reproducible cold-start evaluation pipeline, D3.2 primary result, D3.3 failure and 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are initiated before the award and letters accompany the application. The open-data track already carries the methodological test under the same rolling-origin restriction, so delayed access narrows the claim (§2.4) without stalling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A structured</w:t>
      </w:r>
      <w:r>
        <w:t xml:space="preserve"> </w:t>
      </w:r>
      <w:r>
        <w:rPr>
          <w:bCs/>
          <w:b/>
        </w:rPr>
        <w:t xml:space="preserve">SHELF</w:t>
      </w:r>
      <w:r>
        <w:t xml:space="preserve"> </w:t>
      </w:r>
      <w:r>
        <w:t xml:space="preserve">elicitation (n ≈ 15–20 across HUG emergency medicine, CASU-144 regulation and capacity management) elicits the consequences of early, late and unnecessary escalation and derives thresholds from the losses.</w:t>
      </w:r>
      <w:r>
        <w:t xml:space="preserve"> </w:t>
      </w:r>
      <w:r>
        <w:rPr>
          <w:bCs/>
          <w:b/>
        </w:rPr>
        <w:t xml:space="preserve">The primary decision is fixed in advance.</w:t>
      </w:r>
      <w:r>
        <w:t xml:space="preserve"> </w:t>
      </w:r>
      <w:r>
        <w:t xml:space="preserve">Surge-capacity escalation is triggered when the forecast probability of the upper states (strained or critical in the default scheme) crosses the elicited threshold. Candidates without a state map forecasts to escalation-state probabilities through T2.1's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The WP3 forecasts are re-evaluated with net-benefit and decision-curve analysis and with value of information, to establish whether rankings change once consequences are incorporated. Because operational records may encode structural differences, calibration and threshold performance are assessed across aggregate strata (age, sex, neighbourhood deprivation). A model that is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For selected episodes, I estimate what would have changed had escalation followed the model's signal, with a simple capacity model and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State probabilities, forecasts and validity checks are refreshed automatically and</w:t>
      </w:r>
      <w:r>
        <w:t xml:space="preserve"> </w:t>
      </w:r>
      <w:r>
        <w:rPr>
          <w:bCs/>
          <w:b/>
        </w:rPr>
        <w:t xml:space="preserve">recorded and scored prospectively against the outcomes as they are observed, never used clinically</w:t>
      </w:r>
      <w:r>
        <w:t xml:space="preserve">. The project ends with the system running and its quantification verified. The legionellosis extension is methodological and retrospective and need not enter the capacity decision or the dashboard. A</w:t>
      </w:r>
      <w:r>
        <w:t xml:space="preserve"> </w:t>
      </w:r>
      <w:r>
        <w:rPr>
          <w:bCs/>
          <w:b/>
        </w:rPr>
        <w:t xml:space="preserve">living-evidence monitor</w:t>
      </w:r>
      <w:r>
        <w:t xml:space="preserve"> </w:t>
      </w:r>
      <w:r>
        <w:t xml:space="preserve">checks the literature daily and re-runs the per-scenario syntheses on a registered schedule [Elliott 2014], flagging new publications that would change a parameter value, a variable set, a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plus dashboard and living-update protocol where authorised.</w:t>
      </w:r>
    </w:p>
    <w:p>
      <w:pPr>
        <w:pStyle w:val="BodyText"/>
      </w:pPr>
      <w:r>
        <w:rPr>
          <w:bCs/>
          <w:b/>
        </w:rPr>
        <w:t xml:space="preserve">Methods, data protection and reproducibility.</w:t>
      </w:r>
      <w:r>
        <w:t xml:space="preserve"> </w:t>
      </w:r>
      <w:r>
        <w:t xml:space="preserve">Version-controlled R and Python code under a registered analysis plan. Clinical data are processed in the UNIGE secure environment under the applicable institutional and regulatory approvals. The benchmark and software are released openly, with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w:t>
      </w:r>
      <w:r>
        <w:t xml:space="preserve"> </w:t>
      </w:r>
      <w:r>
        <w:t xml:space="preserve">The project is hosted by the</w:t>
      </w:r>
      <w:r>
        <w:t xml:space="preserve"> </w:t>
      </w:r>
      <w:r>
        <w:rPr>
          <w:bCs/>
          <w:b/>
        </w:rPr>
        <w:t xml:space="preserve">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and Dr Robert Larribau, CASU-144).</w:t>
      </w:r>
    </w:p>
    <w:p>
      <w:pPr>
        <w:pStyle w:val="BodyText"/>
      </w:pPr>
      <w:r>
        <w:rPr>
          <w:bCs/>
          <w:b/>
        </w:rPr>
        <w:t xml:space="preserve">Institute of Global Health.</w:t>
      </w:r>
      <w:r>
        <w:t xml:space="preserve"> </w:t>
      </w:r>
      <w:r>
        <w:t xml:space="preserve">Epidemiology, infectious-disease modelling and automated evidence extraction coexist in one institute, which is where the gap became visible, and the programme runs independently alongside its groups (§2.6).</w:t>
      </w:r>
      <w:r>
        <w:t xml:space="preserve"> </w:t>
      </w:r>
      <w:r>
        <w:rPr>
          <w:bCs/>
          <w:b/>
        </w:rPr>
        <w:t xml:space="preserve">DS4DH</w:t>
      </w:r>
      <w:r>
        <w:t xml:space="preserve"> </w:t>
      </w:r>
      <w:r>
        <w:t xml:space="preserve">contributes the biomedical NLP that WP1 needs, and through GESICA I already work with the emergency-medicine partners [Edjinedja 2026].</w:t>
      </w:r>
      <w:r>
        <w:t xml:space="preserve"> </w:t>
      </w:r>
      <w:r>
        <w:rPr>
          <w:bCs/>
          <w:b/>
        </w:rPr>
        <w:t xml:space="preserve">Existing infrastructure</w:t>
      </w:r>
      <w:r>
        <w:t xml:space="preserve"> </w:t>
      </w:r>
      <w:r>
        <w:t xml:space="preserve">comprises the LiteRev-Evidence prototype (§2.2.4), the legionellosis study (§2.2.5), 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238"/>
        <w:gridCol w:w="1814"/>
        <w:gridCol w:w="4494"/>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or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Secured</w:t>
            </w:r>
          </w:p>
        </w:tc>
        <w:tc>
          <w:tcPr/>
          <w:p>
            <w:pPr>
              <w:pStyle w:val="Compact"/>
              <w:jc w:val="left"/>
            </w:pPr>
            <w:r>
              <w:t xml:space="preserve">Letter of support signed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Daily, near real time, project agreement and letter in preparation</w:t>
            </w:r>
          </w:p>
        </w:tc>
      </w:tr>
      <w:tr>
        <w:tc>
          <w:tcPr/>
          <w:p>
            <w:pPr>
              <w:pStyle w:val="Compact"/>
              <w:jc w:val="left"/>
            </w:pPr>
            <w:r>
              <w:t xml:space="preserve">ED presentations and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and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are the ED and ICU extraction and the 144 project agreement, and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and the applicant's salary is covered separately. Doctoral students and postdocs cannot be employed under the 2026 rules, but support personnel can.</w:t>
      </w:r>
    </w:p>
    <w:tbl>
      <w:tblPr>
        <w:tblStyle w:val="Table"/>
        <w:tblW w:w="10546" w:type="dxa"/>
        <w:tblLook w:firstRow="1" w:lastRow="0" w:firstColumn="0" w:lastColumn="0" w:noHBand="0" w:noVBand="0" w:val="0020"/>
        <w:jc w:val="start"/>
        <w:tblLayout w:type="fixed"/>
      </w:tblPr>
      <w:tblGrid>
        <w:gridCol w:w="4040"/>
        <w:gridCol w:w="650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Presentation of results,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t xml:space="preserve">Project-specific data agreements with HUG and 144/CASU, data governance confirmed under the applicable institutional and regulatory framework before any analysis, and hardening of LiteRev-Evidence before clinical data connect.</w: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 protocol and WP4's decision work. One</w:t>
      </w:r>
      <w:r>
        <w:t xml:space="preserve"> </w:t>
      </w:r>
      <w:r>
        <w:rPr>
          <w:bCs/>
          <w:b/>
        </w:rPr>
        <w:t xml:space="preserve">scientific/technical collaborator</w:t>
      </w:r>
      <w:r>
        <w:t xml:space="preserve"> </w:t>
      </w:r>
      <w:r>
        <w:t xml:space="preserve">(support personnel, 50% over 48 months) carries the T3.1–T3.2 harmonisation and rolling-origin pipeline and the reproducibility engineering behind D1.1 and D3.1. A separately contracted</w:t>
      </w:r>
      <w:r>
        <w:t xml:space="preserve"> </w:t>
      </w:r>
      <w:r>
        <w:rPr>
          <w:bCs/>
          <w:b/>
        </w:rPr>
        <w:t xml:space="preserve">independent extractor</w:t>
      </w:r>
      <w:r>
        <w:t xml:space="preserve"> </w:t>
      </w:r>
      <w:r>
        <w:t xml:space="preserve">(M3–M9) provides T1.2's second extraction arm. No other personnel are requested.</w:t>
      </w:r>
    </w:p>
    <w:p>
      <w:pPr>
        <w:pStyle w:val="BodyText"/>
      </w:pPr>
      <w:r>
        <w:t xml:space="preserve">There is no serial chain. WP2 falls back to weakly informative priors if WP1 finds extraction inadequate, WP3's open-data track runs regardless of access, and WP4's decision analysis is retrospective.</w:t>
      </w:r>
      <w:r>
        <w:t xml:space="preserve"> </w:t>
      </w:r>
      <w:r>
        <w:rPr>
          <w:bCs/>
          <w:b/>
        </w:rPr>
        <w:t xml:space="preserve">Open data alone has a cost.</w:t>
      </w:r>
      <w:r>
        <w:t xml:space="preserve"> </w:t>
      </w:r>
      <w:r>
        <w:t xml:space="preserve">Open series are not emergency-system demand, so the claim would narrow and most of WP4 would turn illustrative, hence the pre-award agreements.</w:t>
      </w:r>
    </w:p>
    <w:p>
      <w:pPr>
        <w:pStyle w:val="BodyText"/>
      </w:pPr>
      <w:r>
        <w:drawing>
          <wp:inline>
            <wp:extent cx="6640000" cy="2627129"/>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647"/>
        <w:gridCol w:w="1560"/>
        <w:gridCol w:w="7339"/>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where authorised</w:t>
            </w:r>
          </w:p>
        </w:tc>
      </w:tr>
    </w:tbl>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from a few studies, and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and open access throughout. Benchmarks, the prior library and the code are released as</w:t>
      </w:r>
      <w:r>
        <w:t xml:space="preserve"> </w:t>
      </w:r>
      <w:r>
        <w:rPr>
          <w:bCs/>
          <w:b/>
        </w:rPr>
        <w:t xml:space="preserve">citable, versioned open resources</w:t>
      </w:r>
      <w:r>
        <w:t xml:space="preserve">, and results are returned to the partners. The durable resources, subordinate to the central question, are</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are informative. The project quantifies whether external evidence improves those decisions, and with what residual uncertainty. Each validated archetype leaves a registered, automatically re-validated configuration with the services, and extending that nucleus into a multi-crisis surveillance platform is the post-grant pathway.</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w:t>
      </w:r>
    </w:p>
    <w:tbl>
      <w:tblPr>
        <w:tblStyle w:val="Table"/>
        <w:tblW w:w="10546" w:type="dxa"/>
        <w:tblLook w:firstRow="1" w:lastRow="0" w:firstColumn="0" w:lastColumn="0" w:noHBand="0" w:noVBand="0" w:val="0020"/>
        <w:jc w:val="start"/>
        <w:tblLayout w:type="fixed"/>
      </w:tblPr>
      <w:tblGrid>
        <w:gridCol w:w="2167"/>
        <w:gridCol w:w="3832"/>
        <w:gridCol w:w="1560"/>
        <w:gridCol w:w="298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 borrowing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w:t>
      </w:r>
      <w:r>
        <w:t xml:space="preserve">It uses existing infrastructures to test a question that is a work package of none of them.</w:t>
      </w:r>
    </w:p>
    <w:p>
      <w:pPr>
        <w:pStyle w:val="BodyText"/>
      </w:pPr>
      <w:r>
        <w:rPr>
          <w:bCs/>
          <w:b/>
        </w:rPr>
        <w:t xml:space="preserve">The question and the methods are mine.</w:t>
      </w:r>
      <w:r>
        <w:t xml:space="preserve"> </w:t>
      </w:r>
      <w:r>
        <w:t xml:space="preserve">The question arose while building LiteRev-Evidence. It could pool published estimates into priors, and nothing showed whether they improved forecasting in a new setting. The methodological core came from fifteen years of quantitative finance, from no group I have worked in, and the platform was built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and she co-authors my output, as expected at this stage, but she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and the guarantees are in the confirmation letters. The programme is executable by the PI and budgeted support personnel.</w:t>
      </w:r>
      <w:r>
        <w:t xml:space="preserve"> </w:t>
      </w:r>
      <w:r>
        <w:rPr>
          <w:bCs/>
          <w:b/>
        </w:rPr>
        <w:t xml:space="preserve">No named individual other than the PI is scientifically load-bearing.</w:t>
      </w:r>
    </w:p>
    <w:p>
      <w:pPr>
        <w:pStyle w:val="BodyText"/>
      </w:pPr>
      <w:r>
        <w:rPr>
          <w:bCs/>
          <w:b/>
        </w:rPr>
        <w:t xml:space="preserve">Where this leads.</w:t>
      </w:r>
      <w:r>
        <w:t xml:space="preserve"> </w:t>
      </w:r>
      <w:r>
        <w:t xml:space="preserve">By month 48, a validated answer and a first-author record, the basis for group leadership or a professorship.</w: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2026-10-14T11:54:43Z</dcterms:created>
  <dcterms:modified xsi:type="dcterms:W3CDTF">2026-10-14T11:54:43Z</dcterms:modified>
</cp:coreProperties>
</file>

<file path=docProps/custom.xml><?xml version="1.0" encoding="utf-8"?>
<Properties xmlns="http://schemas.openxmlformats.org/officeDocument/2006/custom-properties" xmlns:vt="http://schemas.openxmlformats.org/officeDocument/2006/docPropsVTypes"/>
</file>