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COLDSTART: Anticipating and quantifying health-system crises before the outcome is observable</w:t>
      </w:r>
    </w:p>
    <w:bookmarkStart w:id="20" w:name="X54a346158e1c9302d737b408239f1b33007b474"/>
    <w:p>
      <w:pPr>
        <w:pStyle w:val="Heading1"/>
      </w:pPr>
      <w:r>
        <w:t xml:space="preserve">1. Summary</w:t>
      </w:r>
    </w:p>
    <w:p>
      <w:pPr>
        <w:pStyle w:val="FirstParagraph"/>
      </w:pPr>
      <w:r>
        <w:t xml:space="preserve">When a health crisis begins, the quantities decision-makers need to forecast (calls, presentations, demand, occupancy, severity) are precisely those for which almost no local outcome data yet exist: the outcome series is a handful of noisy observations, and systems that perform well on years of local history are weakest when early decisions matter most.</w:t>
      </w:r>
    </w:p>
    <w:p>
      <w:pPr>
        <w:pStyle w:val="BodyText"/>
      </w:pPr>
      <w:r>
        <w:t xml:space="preserve">There is another source of quantitative information: published evidence from analogous events elsewhere. It is rarely tested as formal prior information, because of the lack of reliable extraction and the difficulty of transporting it to the new setting. A confidently wrong prior is worse than none: it is most influential exactly when local data cannot correct it.</w:t>
      </w:r>
    </w:p>
    <w:p>
      <w:pPr>
        <w:pStyle w:val="BodyText"/>
      </w:pPr>
      <w:r>
        <w:t xml:space="preserve">This project asks one end-to-end question:</w:t>
      </w:r>
      <w:r>
        <w:t xml:space="preserve"> </w:t>
      </w:r>
      <w:r>
        <w:rPr>
          <w:bCs/>
          <w:b/>
        </w:rPr>
        <w:t xml:space="preserve">can published quantitative evidence be reliably extracted, transported and used to forecast health-system escalation when local outcome data are insufficient at crisis onset; can we detect early when it should not be trusted; does any gain change operational decisions; and can the whole loop run automatically, prospectively verified, under pre-registered rules?</w:t>
      </w:r>
      <w:r>
        <w:t xml:space="preserve"> </w:t>
      </w:r>
      <w:r>
        <w:rPr>
          <w:bCs/>
          <w:b/>
        </w:rPr>
        <w:t xml:space="preserve">LiteRev-Evidence</w:t>
      </w:r>
      <w:r>
        <w:t xml:space="preserve">, the prototype I built, already walks this pipeline from a plain-language question to certainty-graded extraction, pooled parameter distributions and tuned candidate models. The project turns it into a validated instrument and tests it. I will (1) establish the error structure of automated extraction and propagate it into evidence-derived priors, for parameter values and the rest of what the literature carries (explanatory variables and lags, model forms, outcomes and thresholds); (2) represent the state of the care system as an unobserved regime process whose escalation probabilities carry every input's uncertainty, fed by those priors and a critical-slowing-down indicator read from the short local history; (3) test, by strict rolling-origin reconstruction of each historical moment's information, whether the evidence improves cold-start forecast skill and when it causes harm; and (4) whether any gain is large enough to change operational decisions. The decisive experiment runs a pre-registered library of candidate models (local baselines, surveillance algorithms, machine-learning and regime models; mechanistic components only for epidemiological crises) through an automated engine that checks assumptions, scores on established metrics and selects each arm's champion under rules fixed in advance. One contrast defines the confirmatory family: the evidence-informed against the local-only champion, tested on respiratory episodes and, only if that passes, repeated on heat as the sequential generalisation.</w:t>
      </w:r>
    </w:p>
    <w:p>
      <w:pPr>
        <w:pStyle w:val="BodyText"/>
      </w:pPr>
      <w:r>
        <w:t xml:space="preserve">The forecasting machinery is validated first on open Swiss series (a public benchmark), then on Geneva's operational series. Three Geneva crisis archetypes, and no more, carry the real-world tests: respiratory epidemics confirmatory, heatwaves the sequential generalisation, legionellosis a scoped year-4 extension. The outcome is intentionally falsifiable: if the evidence improves cold-start forecasts, the project establishes when and by how much; if not, or if harm cannot be detected early enough, a boundary condition for automated evidence-informed forecasting. For demand-based event types whose models validate, and where authorised, the framework runs by month 48 as a</w:t>
      </w:r>
      <w:r>
        <w:t xml:space="preserve"> </w:t>
      </w:r>
      <w:r>
        <w:rPr>
          <w:bCs/>
          <w:b/>
        </w:rPr>
        <w:t xml:space="preserve">daily observation-mode dashboard</w:t>
      </w:r>
      <w:r>
        <w:t xml:space="preserve"> </w:t>
      </w:r>
      <w:r>
        <w:t xml:space="preserve">with Geneva's emergency services, forecasts and validity checks refreshed automatically, recorded and scored prospectively against observed outcomes, never yet steering care: the nucleus of a future living surveillance platform.</w:t>
      </w:r>
    </w:p>
    <w:p>
      <w:pPr>
        <w:pStyle w:val="BodyText"/>
      </w:pPr>
      <w:r>
        <w:t xml:space="preserve">The project rests on an unusual combination: fifteen years of quantitative finance on rare-event risk and regime models, LiteRev-Evidence, and Swiss emergency data. Ambizione turns these into an independent research programme, led by me.</w: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early in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and every recommended model is trained on years of local history.</w:t>
      </w:r>
    </w:p>
    <w:p>
      <w:pPr>
        <w:pStyle w:val="BodyText"/>
      </w:pPr>
      <w:r>
        <w:rPr>
          <w:bCs/>
          <w:b/>
        </w:rPr>
        <w:t xml:space="preserve">The cold-start problem is a labelled-outcome problem.</w:t>
      </w:r>
      <w:r>
        <w:t xml:space="preserve"> </w:t>
      </w:r>
      <w:r>
        <w:t xml:space="preserve">At crisis onset, context variables abound but the outcome to be forecast does not, and abundance itself can mislead: Google Flu Trends overestimated influenza by more than a factor of two [Lazer 2014]. Early signals do not close the gap: wastewater needs a shedding-to-incidence relationship that itself comes from external evidence, and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carrying its extraction error and its transportability uncertainty, improves</w:t>
      </w:r>
      <w:r>
        <w:t xml:space="preserve"> </w:t>
      </w:r>
      <w:r>
        <w:rPr>
          <w:bCs/>
          <w:b/>
        </w:rPr>
        <w:t xml:space="preserve">operational cold-start forecasts under strict historical information constraints</w:t>
      </w:r>
      <w:r>
        <w:t xml:space="preserve">, and whether harmful borrowing is detected in time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explanatory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to my knowledge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the errors [Shankar 2026]. The open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often need an interpretable escalation state (routine, elevated, strained, critical) more than tomorrow's count. Latent-state representations are established in surveillance: Poisson hidden Markov models distinguish epidemic from non-epidemic periods [Le Strat 1999; Watkins 2009]; extreme-value methods frame rare critical exceedances [Coles 2001], applied to Swiss hospital congestion [Ranjbar 2022]. Here they serve one purpose: a latent ordinal state as the</w:t>
      </w:r>
      <w:r>
        <w:t xml:space="preserve"> </w:t>
      </w:r>
      <w:r>
        <w:rPr>
          <w:bCs/>
          <w:b/>
        </w:rPr>
        <w:t xml:space="preserve">common representation for testing evidence borrowing at crisis onset</w:t>
      </w:r>
      <w:r>
        <w:t xml:space="preserve">.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reads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decision-analytic methods evaluate predictions under explicit consequences [Vickers 2006]: a forecast is operationally useful only when its probabilistic gain changes a defensible decision. Mortality-calibrated heat thresholds need not match demand thresholds [Lung 2021]; pollution–asthma emergency associations are heterogeneous across settings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Their stated objectives do not address whether automatically synthesised external quantitative evidence should enter a forecast as formal prior information at local cold start.</w:t>
      </w:r>
    </w:p>
    <w:p>
      <w:pPr>
        <w:pStyle w:val="BodyText"/>
      </w:pPr>
      <w:r>
        <w:t xml:space="preserve">What nobody has established is whether these pieces connect around the</w:t>
      </w:r>
      <w:r>
        <w:t xml:space="preserve"> </w:t>
      </w:r>
      <w:r>
        <w:rPr>
          <w:bCs/>
          <w:b/>
        </w:rPr>
        <w:t xml:space="preserve">cold-start question</w:t>
      </w:r>
      <w:r>
        <w:t xml:space="preserve">, and whether the loop from living evidence synthesis to variable choice, model choice, thresholds and automatically re-validated forecasts can be closed under pre-registered rules.</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it is why this project is tractable: fifteen years in quantitative</w:t>
      </w:r>
      <w:r>
        <w:t xml:space="preserve"> </w:t>
      </w:r>
      <w:r>
        <w:t xml:space="preserve">finance (risk, extreme values,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theme. I now</w:t>
      </w:r>
      <w:r>
        <w:t xml:space="preserve"> </w:t>
      </w:r>
      <w:r>
        <w:rPr>
          <w:bCs/>
          <w:b/>
        </w:rPr>
        <w:t xml:space="preserve">senior-author</w:t>
      </w:r>
      <w:r>
        <w:t xml:space="preserve"> </w:t>
      </w:r>
      <w:r>
        <w:t xml:space="preserve">that line (last author, [Ng'ambi 2026], accepted: cardiovascular-disease</w:t>
      </w:r>
      <w:r>
        <w:t xml:space="preserve"> </w:t>
      </w:r>
      <w:r>
        <w:t xml:space="preserve">classification across harmonised WHO STEPS surveys): I met this proposal's transportability</w:t>
      </w:r>
      <w:r>
        <w:t xml:space="preserve"> </w:t>
      </w:r>
      <w:r>
        <w:t xml:space="preserve">problem first elsewhere, and my role on it has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open databases, deduplication,</w:t>
      </w:r>
      <w:r>
        <w:t xml:space="preserve"> </w:t>
      </w:r>
      <w:r>
        <w:t xml:space="preserve">corpus mapping, iterative relevance suggestion. I led its development with</w:t>
      </w:r>
      <w:r>
        <w:t xml:space="preserve"> </w:t>
      </w:r>
      <w:r>
        <w:rPr>
          <w:bCs/>
          <w:b/>
        </w:rPr>
        <w:t xml:space="preserve">Aziza Merzouki</w:t>
      </w:r>
      <w:r>
        <w:t xml:space="preserve"> </w:t>
      </w:r>
      <w:r>
        <w:t xml:space="preserve">(PhD, computer science) and raised its</w:t>
      </w:r>
      <w:r>
        <w:t xml:space="preserve"> </w:t>
      </w:r>
      <w:r>
        <w:t xml:space="preserve">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explanatory variables with their supporting articles; typed outcome</w:t>
      </w:r>
      <w:r>
        <w:t xml:space="preserve"> </w:t>
      </w:r>
      <w:r>
        <w:t xml:space="preserve">definitions with ready-made emergency-demand targets (ED overload, bed occupancy, call</w:t>
      </w:r>
      <w:r>
        <w:t xml:space="preserve"> </w:t>
      </w:r>
      <w:r>
        <w:t xml:space="preserve">surge);</w:t>
      </w:r>
      <w:r>
        <w:t xml:space="preserve"> </w:t>
      </w:r>
      <w:r>
        <w:rPr>
          <w:bCs/>
          <w:b/>
        </w:rPr>
        <w:t xml:space="preserve">model fitting across algorithm families with automated hyperparameter search,</w:t>
      </w:r>
      <w:r>
        <w:rPr>
          <w:bCs/>
          <w:b/>
        </w:rPr>
        <w:t xml:space="preserve"> </w:t>
      </w:r>
      <w:r>
        <w:rPr>
          <w:bCs/>
          <w:b/>
        </w:rPr>
        <w:t xml:space="preserve">leakage-safe time-series validation and ranking on a stated metric</w:t>
      </w:r>
      <w:r>
        <w:t xml:space="preserve">; and compartmental</w:t>
      </w:r>
      <w:r>
        <w:t xml:space="preserve"> </w:t>
      </w:r>
      <w:r>
        <w:t xml:space="preserve">components, parameterised from extracted ranges, that can re-enter the statistical model as</w:t>
      </w:r>
      <w:r>
        <w:t xml:space="preserve"> </w:t>
      </w:r>
      <w:r>
        <w:t xml:space="preserve">predictors. Per-scenario</w:t>
      </w:r>
      <w:r>
        <w:t xml:space="preserve"> </w:t>
      </w:r>
      <w:r>
        <w:rPr>
          <w:bCs/>
          <w:b/>
        </w:rPr>
        <w:t xml:space="preserve">living reviews re-run on schedule</w:t>
      </w:r>
      <w:r>
        <w:t xml:space="preserve">, every update previewed</w:t>
      </w:r>
      <w:r>
        <w:t xml:space="preserve"> </w:t>
      </w:r>
      <w:r>
        <w:t xml:space="preserve">before application: the evidence-to-model loop this proposal interrogates, in prototype</w:t>
      </w:r>
      <w:r>
        <w:t xml:space="preserve"> </w:t>
      </w:r>
      <w:r>
        <w:t xml:space="preserve">form.</w:t>
      </w:r>
    </w:p>
    <w:p>
      <w:pPr>
        <w:pStyle w:val="BodyText"/>
      </w:pPr>
      <w:r>
        <w:t xml:space="preserve">For GESICA I built the data foundation of the Geneva–Vaud–Neuchâtel network, whose Geneva</w:t>
      </w:r>
      <w:r>
        <w:t xml:space="preserve"> </w:t>
      </w:r>
      <w:r>
        <w:t xml:space="preserve">core COLDSTART uses:</w:t>
      </w:r>
      <w:r>
        <w:t xml:space="preserve"> </w:t>
      </w:r>
      <w:r>
        <w:rPr>
          <w:bCs/>
          <w:b/>
        </w:rPr>
        <w:t xml:space="preserve">77 notifiable diseases in 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a mapped, not assumed, data landscape; validation</w:t>
      </w:r>
      <w:r>
        <w:t xml:space="preserve"> </w:t>
      </w:r>
      <w:r>
        <w:t xml:space="preserve">domains are chosen by</w:t>
      </w:r>
      <w:r>
        <w:t xml:space="preserve"> </w:t>
      </w:r>
      <w:r>
        <w:rPr>
          <w:bCs/>
          <w:b/>
        </w:rPr>
        <w:t xml:space="preserve">model class</w:t>
      </w:r>
      <w:r>
        <w:t xml:space="preserve">.</w:t>
      </w:r>
    </w:p>
    <w:p>
      <w:pPr>
        <w:pStyle w:val="BodyText"/>
      </w:pPr>
      <w:r>
        <w:rPr>
          <w:bCs/>
          <w:b/>
        </w:rPr>
        <w:t xml:space="preserve">The prototype makes the research feasible rather than aspirational</w:t>
      </w:r>
      <w:r>
        <w:t xml:space="preserve">: the fit-tune-rank</w:t>
      </w:r>
      <w:r>
        <w:t xml:space="preserve"> </w:t>
      </w:r>
      <w:r>
        <w:t xml:space="preserve">mechanics T3.3's selection engine registers already run in embryonic form; the grant adds</w:t>
      </w:r>
      <w:r>
        <w:t xml:space="preserve"> </w:t>
      </w:r>
      <w:r>
        <w:t xml:space="preserve">the science (two arms, registered rules, episode-level inference), not the plumbing, and</w:t>
      </w:r>
      <w:r>
        <w:t xml:space="preserve"> </w:t>
      </w:r>
      <w:r>
        <w:t xml:space="preserve">the validated instrument is itself a deliverable.</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distinctive linkage,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To determine</w:t>
      </w:r>
      <w:r>
        <w:t xml:space="preserve"> </w:t>
      </w:r>
      <w:r>
        <w:rPr>
          <w:bCs/>
          <w:b/>
        </w:rPr>
        <w:t xml:space="preserve">whether, and under what conditions, the chain from published quantitative evidence to operational forecasting closes at the onset of a health-system crisis: reliable extraction, transport to the local setting, improved probabilistic forecasts of escalation, early detection of harmful borrowing, decision-relevant gains, and an automated, prospectively verified loop.</w:t>
      </w:r>
    </w:p>
    <w:p>
      <w:pPr>
        <w:pStyle w:val="BodyText"/>
      </w:pPr>
      <w:r>
        <w:t xml:space="preserve">This end-to-end question decomposes into</w:t>
      </w:r>
      <w:r>
        <w:t xml:space="preserve"> </w:t>
      </w:r>
      <w:r>
        <w:rPr>
          <w:bCs/>
          <w:b/>
        </w:rPr>
        <w:t xml:space="preserve">one central hypothesis, H3a</w:t>
      </w:r>
      <w:r>
        <w:t xml:space="preserve">; all else is subordinate, each row validating one link of the chain:</w:t>
      </w:r>
    </w:p>
    <w:tbl>
      <w:tblPr>
        <w:tblStyle w:val="Table"/>
        <w:tblW w:w="10546" w:type="dxa"/>
        <w:tblLook w:firstRow="1" w:lastRow="0" w:firstColumn="0" w:lastColumn="0" w:noHBand="0" w:noVBand="0" w:val="0020"/>
        <w:jc w:val="start"/>
        <w:tblLayout w:type="fixed"/>
      </w:tblPr>
      <w:tblGrid>
        <w:gridCol w:w="1560"/>
        <w:gridCol w:w="2560"/>
        <w:gridCol w:w="6426"/>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p>
      <w:pPr>
        <w:pStyle w:val="BodyText"/>
      </w:pPr>
      <w:r>
        <w:drawing>
          <wp:inline>
            <wp:extent cx="6640000" cy="2637028"/>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37028"/>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correct this under-dispersion, success assessed by a pre-specified criterion: coverage and calibration of intervals from the corrected distribution across held-out adjudicated studies.</w:t>
      </w:r>
    </w:p>
    <w:p>
      <w:pPr>
        <w:pStyle w:val="FirstParagraph"/>
      </w:pPr>
      <w:r>
        <w:t xml:space="preserve">Omissions dominate reported extraction errors [Shankar 2026], and whether they systematically shrink dispersion is exactly what H1 tests; if the loss cannot be corrected, the project establishes a boundary condition. The evidence target spans four object classes (T1.1); H1 is tested on the quantitative core, and classes 2 to 4 are validated externally against published syntheses (T1.2).</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covers the critical tail; resilience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explanatory-variable sets and model forms) improves probabilistic forecast skill during the early phase of a crisis; the persistence and decay of the advantage as local observations accumulate are assessed secondarily.</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one half of the minimal relevant H3a improvement, a pre-specified 50% preservation fraction (adaptive borrowing must retain at least half the gain that justifies borrowing at all): a maximum acceptable loss, not a simulation convenience.</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The</w:t>
      </w:r>
      <w:r>
        <w:t xml:space="preserve"> </w:t>
      </w:r>
      <w:r>
        <w:rPr>
          <w:bCs/>
          <w:b/>
        </w:rPr>
        <w:t xml:space="preserve">shape of the advantage over elapsed local data</w:t>
      </w:r>
      <w:r>
        <w:t xml:space="preserve"> </w:t>
      </w:r>
      <w:r>
        <w:t xml:space="preserve">is reported: it should decay to nothing.</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For the demand-based archetypes, decision-analytic evaluation under the losses and escalation thresholds of emergency responders can rank modelling strategies differently from generic accuracy criteria; the evidence-derived strategy is useful only when its gain crosses a decision threshold.</w:t>
      </w:r>
    </w:p>
    <w:bookmarkEnd w:id="40"/>
    <w:bookmarkStart w:id="41" w:name="Xb9e1d30b0b3b85294f8f2f121de9ba04e6f7a39"/>
    <w:p>
      <w:pPr>
        <w:pStyle w:val="Heading4"/>
      </w:pPr>
      <w:r>
        <w:t xml:space="preserve">Scope: three Geneva crisis archetypes, fixed for the grant</w:t>
      </w:r>
    </w:p>
    <w:p>
      <w:pPr>
        <w:pStyle w:val="FirstParagraph"/>
      </w:pPr>
      <w:r>
        <w:rPr>
          <w:bCs/>
          <w:b/>
        </w:rPr>
        <w:t xml:space="preserve">COLDSTART's real-world scope is three health-system crisis archetypes, and no more.</w:t>
      </w:r>
      <w:r>
        <w:t xml:space="preserve"> </w:t>
      </w:r>
      <w:r>
        <w:t xml:space="preserve">(1)</w:t>
      </w:r>
      <w:r>
        <w:t xml:space="preserve"> </w:t>
      </w:r>
      <w:r>
        <w:rPr>
          <w:bCs/>
          <w:b/>
        </w:rPr>
        <w:t xml:space="preserve">Respiratory epidemics</w:t>
      </w:r>
      <w:r>
        <w:t xml:space="preserve">: SARS-CoV-2, influenza and RSV, syndromically overlapping and</w:t>
      </w:r>
      <w:r>
        <w:t xml:space="preserve"> </w:t>
      </w:r>
      <w:r>
        <w:t xml:space="preserve">surveilled together in Switzerland, carry the primary confirmatory test.</w:t>
      </w:r>
      <w:r>
        <w:t xml:space="preserve"> </w:t>
      </w:r>
      <w:r>
        <w:t xml:space="preserve">(2)</w:t>
      </w:r>
      <w:r>
        <w:t xml:space="preserve"> </w:t>
      </w:r>
      <w:r>
        <w:rPr>
          <w:bCs/>
          <w:b/>
        </w:rPr>
        <w:t xml:space="preserve">Environmental heat events</w:t>
      </w:r>
      <w:r>
        <w:t xml:space="preserve"> </w:t>
      </w:r>
      <w:r>
        <w:t xml:space="preserve">carry the sequential generalisation test, with</w:t>
      </w:r>
      <w:r>
        <w:t xml:space="preserve"> </w:t>
      </w:r>
      <w:r>
        <w:rPr>
          <w:bCs/>
          <w:b/>
        </w:rPr>
        <w:t xml:space="preserve">air</w:t>
      </w:r>
      <w:r>
        <w:rPr>
          <w:bCs/>
          <w:b/>
        </w:rPr>
        <w:t xml:space="preserve"> </w:t>
      </w:r>
      <w:r>
        <w:rPr>
          <w:bCs/>
          <w:b/>
        </w:rPr>
        <w:t xml:space="preserve">pollution (ozone, PM10) as co-exposure and effect modifier</w:t>
      </w:r>
      <w:r>
        <w:t xml:space="preserve">, not a separate domain.</w:t>
      </w:r>
      <w:r>
        <w:t xml:space="preserve"> </w:t>
      </w:r>
      <w:r>
        <w:t xml:space="preserve">(3)</w:t>
      </w:r>
      <w:r>
        <w:t xml:space="preserve"> </w:t>
      </w:r>
      <w:r>
        <w:rPr>
          <w:bCs/>
          <w:b/>
        </w:rPr>
        <w:t xml:space="preserve">Waterborne outbreaks</w:t>
      </w:r>
      <w:r>
        <w:t xml:space="preserve">: Geneva legionellosis, the year-4 contrasting extension (T3.5).</w:t>
      </w:r>
      <w:r>
        <w:t xml:space="preserve"> </w:t>
      </w:r>
      <w:r>
        <w:t xml:space="preserve">The domains are fixed for the project; further data serve benchmarking and sensitivity</w:t>
      </w:r>
      <w:r>
        <w:t xml:space="preserve"> </w:t>
      </w:r>
      <w:r>
        <w:t xml:space="preserve">analyses only; no fourth operational domain is required.</w:t>
      </w:r>
      <w:r>
        <w:t xml:space="preserve"> </w:t>
      </w:r>
      <w:r>
        <w:t xml:space="preserve">For respiratory and heat, both arms score</w:t>
      </w:r>
      <w:r>
        <w:t xml:space="preserve"> </w:t>
      </w:r>
      <w:r>
        <w:rPr>
          <w:bCs/>
          <w:b/>
        </w:rPr>
        <w:t xml:space="preserve">the same quantity, built the same way</w:t>
      </w:r>
      <w:r>
        <w:t xml:space="preserve">: daily</w:t>
      </w:r>
      <w:r>
        <w:t xml:space="preserve"> </w:t>
      </w:r>
      <w:r>
        <w:t xml:space="preserve">emergency demand from the CASU-144 series, restricted to the archetype's cause classes (T3.0): respiratory-related</w:t>
      </w:r>
      <w:r>
        <w:t xml:space="preserve"> </w:t>
      </w:r>
      <w:r>
        <w:t xml:space="preserve">demand for epidemics;</w:t>
      </w:r>
      <w:r>
        <w:t xml:space="preserve"> </w:t>
      </w:r>
      <w:r>
        <w:rPr>
          <w:bCs/>
          <w:b/>
        </w:rPr>
        <w:t xml:space="preserve">heat-sensitive demand</w:t>
      </w:r>
      <w:r>
        <w:t xml:space="preserve"> </w:t>
      </w:r>
      <w:r>
        <w:t xml:space="preserve">for heat, Swiss evidence placing heat</w:t>
      </w:r>
      <w:r>
        <w:t xml:space="preserve"> </w:t>
      </w:r>
      <w:r>
        <w:t xml:space="preserve">effects in dehydration, renal and psychiatric admissions, with a weak respiratory effect at</w:t>
      </w:r>
      <w:r>
        <w:t xml:space="preserve"> </w:t>
      </w:r>
      <w:r>
        <w:t xml:space="preserve">older ages [Schulte 2024; Ragettli 2019]. Legionellosis instead forecasts case incidence</w:t>
      </w:r>
      <w:r>
        <w:t xml:space="preserve"> </w:t>
      </w:r>
      <w:r>
        <w:t xml:space="preserve">(T3.5), outside this demand comparison. If the month-12 gate activates the registered</w:t>
      </w:r>
      <w:r>
        <w:t xml:space="preserve"> </w:t>
      </w:r>
      <w:r>
        <w:t xml:space="preserve">fallback, both arms score it, built the same way, and the claim narrows.</w:t>
      </w:r>
    </w:p>
    <w:bookmarkEnd w:id="41"/>
    <w:bookmarkStart w:id="42" w:name="what-the-project-does-not-claim"/>
    <w:p>
      <w:pPr>
        <w:pStyle w:val="Heading4"/>
      </w:pPr>
      <w:r>
        <w:t xml:space="preserve">What the project does not claim</w:t>
      </w:r>
    </w:p>
    <w:p>
      <w:pPr>
        <w:pStyle w:val="FirstParagraph"/>
      </w:pPr>
      <w:r>
        <w:t xml:space="preserve">The project does</w:t>
      </w:r>
      <w:r>
        <w:t xml:space="preserve"> </w:t>
      </w:r>
      <w:r>
        <w:rPr>
          <w:bCs/>
          <w:b/>
        </w:rPr>
        <w:t xml:space="preserve">not</w:t>
      </w:r>
      <w:r>
        <w:t xml:space="preserve"> </w:t>
      </w:r>
      <w:r>
        <w:t xml:space="preserve">aim to outperform forecast hubs in the data-rich regime, does not assume literature-derived priors are beneficial, and does not promise a clinically steering alarm by month 48: the dashboard runs strictly in observation mode. The contribution:</w:t>
      </w:r>
      <w:r>
        <w:t xml:space="preserve"> </w:t>
      </w:r>
      <w:r>
        <w:rPr>
          <w:bCs/>
          <w:b/>
        </w:rPr>
        <w:t xml:space="preserve">whether accumulated quantitative evidence can earn a formal role in forecasting before local outcome data become informative, and a map of when it should not be trusted.</w: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w:t>
      </w:r>
      <w:r>
        <w:t xml:space="preserve"> </w:t>
      </w:r>
      <w:r>
        <w:rPr>
          <w:bCs/>
          <w:b/>
        </w:rPr>
        <w:t xml:space="preserve">(2) Explanatory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Classes 2 to 4 carry provenance and certainty grades and are pursued only as inputs to the registered H3a configuration;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I and a separately contracted independent extractor (§2.4) independently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reported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H1's primary metric is the median log-ratio of automated to adjudicated</w:t>
      </w:r>
      <w:r>
        <w:t xml:space="preserve"> </w:t>
      </w:r>
      <w:r>
        <w:rPr>
          <w:bCs/>
          <w:b/>
        </w:rPr>
        <w:t xml:space="preserve">standard deviation of the evidence-derived distribution</w:t>
      </w:r>
      <w:r>
        <w:t xml:space="preserve">, per parameter class on a common scale under the registered pooling model, with a pre-specified interval (under-dispersion: ratio below one); within-study uncertainty and between-study heterogeneity are propagated separately and jointly, with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the transportability criteria, and the mapping from transportability score to prior widening or discounting, are fixed before the confirmatory evaluation,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 (routine, elevated, strained, critical) observed through emergency calls (the primary channel), with ED presentations and ICU occupancy added where available; pre-specified weather, calendar and epidemic covariates; series-specific observation models sharing the state. Before real-data fitting: simulation-based identifiability and recovery, including the reduced-channel case; ordering constraints resolve label switching; if separation is insufficient, the fallback is an ordinal state-space formulation; the criterion is state and transition recovery, not visual fit.</w:t>
      </w:r>
      <w:r>
        <w:t xml:space="preserve"> </w:t>
      </w:r>
      <w:r>
        <w:rPr>
          <w:bCs/>
          <w:b/>
        </w:rPr>
        <w:t xml:space="preserve">Provisional state anchors</w:t>
      </w:r>
      <w:r>
        <w:t xml:space="preserve">, fixed at registration for WP2–WP3 (T4.1's later elicitation refines their decision interpretation, never the confirmatory state definition):</w:t>
      </w:r>
      <w:r>
        <w:t xml:space="preserve"> </w:t>
      </w:r>
      <w:r>
        <w:rPr>
          <w:bCs/>
          <w:b/>
        </w:rPr>
        <w:t xml:space="preserve">routine</w:t>
      </w:r>
      <w:r>
        <w:t xml:space="preserve"> </w:t>
      </w:r>
      <w:r>
        <w:t xml:space="preserve">below the 75th percentile of the seasonal baseline;</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90th to 97.5th, or sustained capacity pressure (ICU occupancy above 85%, ED boarding above its seasonal 90th percentile);</w:t>
      </w:r>
      <w:r>
        <w:t xml:space="preserve"> </w:t>
      </w:r>
      <w:r>
        <w:rPr>
          <w:bCs/>
          <w:b/>
        </w:rPr>
        <w:t xml:space="preserve">critical</w:t>
      </w:r>
      <w:r>
        <w:t xml:space="preserve"> </w:t>
      </w:r>
      <w:r>
        <w:t xml:space="preserve">above the 97.5th, or capacity saturation; the highest applicable state prevails, capacity saturation alone defining critical.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supporting,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 characteristics); compare weakly informative, fixed evidence-derived and adaptive robust borrowing. The adaptive specification is a robust mixture of an evidence-derived and a weakly informative component; the conflict statistic and the discount function are fixed before the confirmatory evaluation, not tuned during it.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models re-estimated at each input's native cadence with versioned re-fitting; and</w:t>
      </w:r>
      <w:r>
        <w:t xml:space="preserve"> </w:t>
      </w:r>
      <w:r>
        <w:rPr>
          <w:bCs/>
          <w:b/>
        </w:rPr>
        <w:t xml:space="preserve">assumption and validity diagnostics</w:t>
      </w:r>
      <w:r>
        <w:t xml:space="preserve"> </w:t>
      </w:r>
      <w:r>
        <w:t xml:space="preserve">on every fit (residual structure, dispersion, calibration): a model failing its checks is excluded by pre-registered rules. Release a reference implementation in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never tightening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not tuned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on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w:t>
      </w:r>
    </w:p>
    <w:p>
      <w:pPr>
        <w:pStyle w:val="BodyText"/>
      </w:pPr>
      <w:r>
        <w:rPr>
          <w:bCs/>
          <w:b/>
        </w:rPr>
        <w:t xml:space="preserve">Candidate outcome set and geography.</w:t>
      </w:r>
      <w:r>
        <w:t xml:space="preserve"> </w:t>
      </w:r>
      <w:r>
        <w:t xml:space="preserve">The pre-registered candidates, in hierarchy order: (1) cause-filtered CASU-144 emergency demand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a deliberate single-canton design in the data ecosystem I already work in; generalisation comes from the contrasting archetypes and the open national series.</w:t>
      </w:r>
    </w:p>
    <w:p>
      <w:pPr>
        <w:pStyle w:val="BodyText"/>
      </w:pPr>
      <w:r>
        <w:rPr>
          <w:bCs/>
          <w:b/>
        </w:rPr>
        <w:t xml:space="preserve">Data-access gate.</w:t>
      </w:r>
      <w:r>
        <w:t xml:space="preserve"> </w:t>
      </w:r>
      <w:r>
        <w:t xml:space="preserve">CASU-144 is the pre-specified primary outcome. Criteria for</w:t>
      </w:r>
      <w:r>
        <w:t xml:space="preserve"> </w:t>
      </w:r>
      <w:r>
        <w:rPr>
          <w:bCs/>
          <w:b/>
        </w:rPr>
        <w:t xml:space="preserve">historical depth, resolution, latency and completeness</w:t>
      </w:r>
      <w:r>
        <w:t xml:space="preserve"> </w:t>
      </w:r>
      <w:r>
        <w:t xml:space="preserve">are fixed in advance; a month-12 gate confirms them; if not, the pre-specified fallback activates and the claim narrows.</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serve sensitivity analysis only.</w:t>
      </w:r>
      <w:r>
        <w:t xml:space="preserve"> </w:t>
      </w:r>
      <w:r>
        <w:rPr>
          <w:bCs/>
          <w:b/>
        </w:rPr>
        <w:t xml:space="preserve">At demand level, co-circulating pathogens form one episode.</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w:t>
      </w:r>
      <w:r>
        <w:t xml:space="preserve"> </w:t>
      </w:r>
      <w:r>
        <w:t xml:space="preserve">Before any clinical series connects, the complete rolling-origin machinery runs on open Swiss series requiring no agreement: federal respiratory surveillance, the national wastewater programme, weekly all-cause deaths, MeteoSwiss exposures. Archived multi-model hub forecasts give contemporaneous comparators for early, genuinely cold-start rounds [Cramer 2022; Sherratt 2023]. The track ships as a</w:t>
      </w:r>
      <w:r>
        <w:t xml:space="preserve"> </w:t>
      </w:r>
      <w:r>
        <w:rPr>
          <w:bCs/>
          <w:b/>
        </w:rPr>
        <w:t xml:space="preserve">public, re-runnable benchmark</w:t>
      </w:r>
      <w:r>
        <w:t xml:space="preserve">: every component validated before operational data arrive, the methodological test robust to access outcomes; operational series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 and nowcasting [Höhle 2014; McGough 2020]; degraded reporting under strain could itself mimic an early-warning signal. Two Geneva channels extend the set: the HUG COVID-19 hospitalisation data I previously analysed [Orel 2024], re-requested as a secondary respiratory validation and calibration channel, and pharmacy sales with wastewater measurements via the pharmacien cantonal as syndromic covariates.</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describe</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(WHO/ECDC) enters as a</w:t>
      </w:r>
      <w:r>
        <w:t xml:space="preserve"> </w:t>
      </w:r>
      <w:r>
        <w:rPr>
          <w:bCs/>
          <w:b/>
        </w:rPr>
        <w:t xml:space="preserve">pre-specified secondary prior variant</w:t>
      </w:r>
      <w:r>
        <w:t xml:space="preserve">, through the same extraction pipeline, outside the confirmatory contrast: H3a tests literature borrowing, not evidence fusion.</w:t>
      </w:r>
      <w:r>
        <w:t xml:space="preserve"> </w:t>
      </w:r>
      <w:r>
        <w:rPr>
          <w:bCs/>
          <w:b/>
        </w:rPr>
        <w:t xml:space="preserve">Text describing the local event is excluded from any prior</w:t>
      </w:r>
      <w:r>
        <w:t xml:space="preserve">: it is a noisy measurement of the outcome itself. Every input carries an index timestamp; revised sources enter as the</w:t>
      </w:r>
      <w:r>
        <w:t xml:space="preserve"> </w:t>
      </w:r>
      <w:r>
        <w:rPr>
          <w:bCs/>
          <w:b/>
        </w:rPr>
        <w:t xml:space="preserve">release vintage available at the origin</w:t>
      </w:r>
      <w:r>
        <w:t xml:space="preserve">, never the final revised value, observation and release times both retained; origins re-run automatically through the T2.5 layer at each input's native cadence. Forecast horizons 7, 14 and 28 days (primary horizon per archetype fixed at the second registration point by a pre-specified operational criterion, never by forecast performance or episode results);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[Salmon 2016]); penalised, gradient-boosted and upper-tail quantile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 nested against leakage.</w:t>
      </w:r>
      <w:r>
        <w:t xml:space="preserve"> </w:t>
      </w:r>
      <w:r>
        <w:t xml:space="preserve">At each outer forecast origin, each arm's</w:t>
      </w:r>
      <w:r>
        <w:t xml:space="preserve"> </w:t>
      </w:r>
      <w:r>
        <w:rPr>
          <w:bCs/>
          <w:b/>
        </w:rPr>
        <w:t xml:space="preserve">champion</w:t>
      </w:r>
      <w:r>
        <w:t xml:space="preserve"> </w:t>
      </w:r>
      <w:r>
        <w:t xml:space="preserve">is chosen by a registered rule using only inner rolling validation on outcomes observed</w:t>
      </w:r>
      <w:r>
        <w:t xml:space="preserve"> </w:t>
      </w:r>
      <w:r>
        <w:rPr>
          <w:bCs/>
          <w:b/>
        </w:rPr>
        <w:t xml:space="preserve">before</w:t>
      </w:r>
      <w:r>
        <w:t xml:space="preserve"> </w:t>
      </w:r>
      <w:r>
        <w:t xml:space="preserve">that origin (CRPS the primary selection criterion, log score and calibration registered admissibility constraints, not ranking criteria; after T2.5 validity checks; blind to the other arm); the fixed champion then issues the outer forecast. Selection never sees the outcomes it is scored on. Identical selection machinery runs in both arms, so the primary contrast tests the full evidence-informed configuration, not a particular model family; the library is deliberately broad for selection, not hypothesis multiplication; registered secondary contrasts isolate the prior, variable-set and model-form components.</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(harm from borrowing is as decision-relevant as benefit).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are secondary.</w:t>
      </w:r>
      <w:r>
        <w:t xml:space="preserve"> </w:t>
      </w:r>
      <w:r>
        <w:rPr>
          <w:bCs/>
          <w:b/>
        </w:rPr>
        <w:t xml:space="preserve">The local-only arm is pinned in the registration</w:t>
      </w:r>
      <w:r>
        <w:t xml:space="preserve">, its regime-model priors carrying a pre-declared band of vaguer and tighter alternatives as a sensitivity analysis: the comparator cannot become a straw man after the fact.</w:t>
      </w:r>
    </w:p>
    <w:p>
      <w:pPr>
        <w:pStyle w:val="BodyText"/>
      </w:pPr>
      <w:r>
        <w:rPr>
          <w:bCs/>
          <w:b/>
        </w:rPr>
        <w:t xml:space="preserve">Primary endpoint:</w:t>
      </w:r>
      <w:r>
        <w:t xml:space="preserve"> </w:t>
      </w:r>
      <w:r>
        <w:t xml:space="preserve">the CRPS skill score of the evidence-informed champion versus the local-only champion over the cold-start window. Aggregation is registered: per episode and arm, CRPS is averaged over eligible origins in the window at the primary horizon; the episode skill score is one minus the CRPS ratio (evidence-informed over local-only); the confirmatory statistic is its equally weighted mean over episodes. The unit of inference is the</w:t>
      </w:r>
      <w:r>
        <w:t xml:space="preserve"> </w:t>
      </w:r>
      <w:r>
        <w:rPr>
          <w:bCs/>
          <w:b/>
        </w:rPr>
        <w:t xml:space="preserve">episode</w:t>
      </w:r>
      <w:r>
        <w:t xml:space="preserve">; eligible episodes are few (13–14 respiratory candidates before screening), so inference is by</w:t>
      </w:r>
      <w:r>
        <w:t xml:space="preserve"> </w:t>
      </w:r>
      <w:r>
        <w:rPr>
          <w:bCs/>
          <w:b/>
        </w:rPr>
        <w:t xml:space="preserve">paired permutation over episodes</w:t>
      </w:r>
      <w:r>
        <w:t xml:space="preserve">, an</w:t>
      </w:r>
      <w:r>
        <w:t xml:space="preserve"> </w:t>
      </w:r>
      <w:r>
        <w:rPr>
          <w:bCs/>
          <w:b/>
        </w:rPr>
        <w:t xml:space="preserve">episode-level bootstrap</w:t>
      </w:r>
      <w:r>
        <w:t xml:space="preserve"> </w:t>
      </w:r>
      <w:r>
        <w:t xml:space="preserve">alongside (episodes are the resampling unit, kept intact, so within-episode temporal dependence is preserved),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w:t>
      </w:r>
      <w:r>
        <w:t xml:space="preserve"> </w:t>
      </w:r>
      <w:r>
        <w:t xml:space="preserve">for</w:t>
      </w:r>
      <w:r>
        <w:t xml:space="preserve"> </w:t>
      </w:r>
      <w:r>
        <w:rPr>
          <w:iCs/>
          <w:i/>
        </w:rPr>
        <w:t xml:space="preserve">N</w:t>
      </w:r>
      <w:r>
        <w:t xml:space="preserve">: the smallest grid value meeting the operating-characteristic criterion, chosen blind to forecast performance. The</w:t>
      </w:r>
      <w:r>
        <w:t xml:space="preserve"> </w:t>
      </w:r>
      <w:r>
        <w:rPr>
          <w:bCs/>
          <w:b/>
        </w:rPr>
        <w:t xml:space="preserve">minimal relevant improvement</w:t>
      </w:r>
      <w:r>
        <w:t xml:space="preserve"> </w:t>
      </w:r>
      <w:r>
        <w:t xml:space="preserve">is a registered value of the episode-level CRPS skill score, fixed before the second registration point by a pre-specified operational-relevance criterion defined before any outcome evaluation; T4.1's later elicitation translates observed improvements into operational consequences, it does not set the threshold.</w:t>
      </w:r>
      <w:r>
        <w:t xml:space="preserve"> </w:t>
      </w:r>
      <w:r>
        <w:rPr>
          <w:bCs/>
          <w:b/>
        </w:rPr>
        <w:t xml:space="preserve">Δ is registered at one half of this fixed value</w:t>
      </w:r>
      <w:r>
        <w:t xml:space="preserve"> </w:t>
      </w:r>
      <w:r>
        <w:t xml:space="preserve">(§2.3.1); the same simulation evaluates power for these targets and the stability of the ratio-based score under heterogeneous baseline CRPS.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 The well-specified case is defined in registered simulations whose evidence- and data-generating distributions match within a set tolerance; real episodes are complementary.</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(registered location, scale and transport shifts) as a stress test. The safety question: can adaptive discounting catch harmful borrowing in time?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 the borrowing framework transferred to forecasting case incidence at outbreak onset (low-count, case-based, on the linked case-environment series).</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and the open-data track already carries the methodological test under the same rolling-origin restriction, so delayed access narrows the claim (§2.4) without stalling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elicits the consequences of early, late and unnecessary escalation and derives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 Non-state candidates map forecasts to escalation-state probabilities via T2.1's registered anchors, so every library member yields the same decision quantity.</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each archetype that passes T3.3 validation and T4.2's decision-value check, and subject to authorisation, the framework runs as a</w:t>
      </w:r>
      <w:r>
        <w:t xml:space="preserve"> </w:t>
      </w:r>
      <w:r>
        <w:rPr>
          <w:bCs/>
          <w:b/>
        </w:rPr>
        <w:t xml:space="preserve">daily observation-mode dashboard</w:t>
      </w:r>
      <w:r>
        <w:t xml:space="preserve"> </w:t>
      </w:r>
      <w:r>
        <w:t xml:space="preserve">with the partner services (144 regulation, ED, ICU): state probabilities, forecasts and validity checks refreshed automatically,</w:t>
      </w:r>
      <w:r>
        <w:t xml:space="preserve"> </w:t>
      </w:r>
      <w:r>
        <w:rPr>
          <w:bCs/>
          <w:b/>
        </w:rPr>
        <w:t xml:space="preserve">recorded and scored prospectively against the outcomes as they are observed, never used clinically</w:t>
      </w:r>
      <w:r>
        <w:t xml:space="preserve">: the project ends with the system running and its quantification verified. The legionellosis extension is methodological and retrospective: it need not enter the capacity decision or the dashboard. A</w:t>
      </w:r>
      <w:r>
        <w:t xml:space="preserve"> </w:t>
      </w:r>
      <w:r>
        <w:rPr>
          <w:bCs/>
          <w:b/>
        </w:rPr>
        <w:t xml:space="preserve">living-evidence monitor</w:t>
      </w:r>
      <w:r>
        <w:t xml:space="preserve"> </w:t>
      </w:r>
      <w:r>
        <w:t xml:space="preserve">checks the literature daily and re-runs the per-scenario syntheses on a registered schedule [Elliott 2014], flagging new publications that would change a parameter value, a variable set, a threshold or the recommended model;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the applicable institutional and regulatory approvals; benchmark and software released openly,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one with</w:t>
      </w:r>
      <w:r>
        <w:t xml:space="preserve"> </w:t>
      </w:r>
      <w:r>
        <w:rPr>
          <w:bCs/>
          <w:b/>
        </w:rPr>
        <w:t xml:space="preserve">HUG emergency medicine</w:t>
      </w:r>
      <w:r>
        <w:t xml:space="preserve"> </w:t>
      </w:r>
      <w:r>
        <w:t xml:space="preserve">(Prof. Thibaut Desmettre; Dr Robert Larribau, CASU-144).</w:t>
      </w:r>
    </w:p>
    <w:p>
      <w:pPr>
        <w:pStyle w:val="BodyText"/>
      </w:pPr>
      <w:r>
        <w:rPr>
          <w:bCs/>
          <w:b/>
        </w:rPr>
        <w:t xml:space="preserve">Institute of Global Health:</w:t>
      </w:r>
      <w:r>
        <w:t xml:space="preserve"> </w:t>
      </w:r>
      <w:r>
        <w:t xml:space="preserve">epidemiology, infectious-disease modelling and automated evidence extraction in one institute: where the gap became visible. Independence is organisational: an independent programme alongside the Institute's groups (§2.6).</w:t>
      </w:r>
      <w:r>
        <w:t xml:space="preserve"> </w:t>
      </w:r>
      <w:r>
        <w:rPr>
          <w:bCs/>
          <w:b/>
        </w:rPr>
        <w:t xml:space="preserve">DS4DH</w:t>
      </w:r>
      <w:r>
        <w:t xml:space="preserve"> </w:t>
      </w:r>
      <w:r>
        <w:t xml:space="preserve">contributes the biomedical NLP WP1 needs; through GESICA I already work with the emergency-medicine partners; the AI-in-EMS review [Edjinedja 2026] evidences it.</w:t>
      </w:r>
    </w:p>
    <w:p>
      <w:pPr>
        <w:pStyle w:val="BodyText"/>
      </w:pPr>
      <w:r>
        <w:rPr>
          <w:bCs/>
          <w:b/>
        </w:rPr>
        <w:t xml:space="preserve">Existing infrastructure.</w:t>
      </w:r>
      <w:r>
        <w:t xml:space="preserve"> </w:t>
      </w:r>
      <w:r>
        <w:t xml:space="preserve">LiteRev-Evidence is a working prototype of the full evidence-to-model pipeline (§2.2.4);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and the University's secure environment for clinical data.</w:t>
      </w:r>
    </w:p>
    <w:p>
      <w:pPr>
        <w:pStyle w:val="BodyText"/>
      </w:pPr>
      <w:r>
        <w:rPr>
          <w:bCs/>
          <w:b/>
        </w:rPr>
        <w:t xml:space="preserve">Commitments, by status.</w:t>
      </w:r>
    </w:p>
    <w:tbl>
      <w:tblPr>
        <w:tblStyle w:val="Table"/>
        <w:tblW w:w="10546" w:type="dxa"/>
        <w:tblLook w:firstRow="1" w:lastRow="0" w:firstColumn="0" w:lastColumn="0" w:noHBand="0" w:noVBand="0" w:val="0020"/>
        <w:jc w:val="start"/>
        <w:tblLayout w:type="fixed"/>
      </w:tblPr>
      <w:tblGrid>
        <w:gridCol w:w="4031"/>
        <w:gridCol w:w="1725"/>
        <w:gridCol w:w="479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requested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Continuous, daily, near real-time; project agreement and letter in preparation</w:t>
            </w:r>
          </w:p>
        </w:tc>
      </w:tr>
      <w:tr>
        <w:tc>
          <w:tcPr/>
          <w:p>
            <w:pPr>
              <w:pStyle w:val="Compact"/>
              <w:jc w:val="left"/>
            </w:pPr>
            <w:r>
              <w:t xml:space="preserve">ED presentations +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Remaining feasibility items: the ED/ICU extraction and the project 144 agreement; every row rests on an existing relationship.</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under the 2026 rules; support personnel can.</w:t>
      </w:r>
    </w:p>
    <w:tbl>
      <w:tblPr>
        <w:tblStyle w:val="Table"/>
        <w:tblW w:w="10546" w:type="dxa"/>
        <w:tblLook w:firstRow="1" w:lastRow="0" w:firstColumn="0" w:lastColumn="0" w:noHBand="0" w:noVBand="0" w:val="0020"/>
        <w:jc w:val="start"/>
        <w:tblLayout w:type="fixed"/>
      </w:tblPr>
      <w:tblGrid>
        <w:gridCol w:w="3880"/>
        <w:gridCol w:w="666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T1.2 protocol, logistics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Results presentation;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month 1 and outside grant funding:</w:t>
      </w:r>
      <w:r>
        <w:t xml:space="preserve"> </w:t>
      </w:r>
      <w:r>
        <w:rPr>
          <w:bCs/>
          <w:b/>
        </w:rPr>
        <w:t xml:space="preserve">project-specific data agreements</w:t>
      </w:r>
      <w:r>
        <w:t xml:space="preserve"> </w:t>
      </w:r>
      <w:r>
        <w:t xml:space="preserve">with HUG and 144/CASU (re-scoping access already held);</w:t>
      </w:r>
      <w:r>
        <w:t xml:space="preserve"> </w:t>
      </w:r>
      <w:r>
        <w:rPr>
          <w:bCs/>
          <w:b/>
        </w:rPr>
        <w:t xml:space="preserve">project-specific data governance and reuse</w:t>
      </w:r>
      <w:r>
        <w:t xml:space="preserve">, confirmed under the applicable institutional and regulatory framework before any analysis;</w:t>
      </w:r>
      <w:r>
        <w:t xml:space="preserve"> </w:t>
      </w:r>
      <w:r>
        <w:rPr>
          <w:bCs/>
          <w:b/>
        </w:rPr>
        <w:t xml:space="preserve">infrastructure hardening</w:t>
      </w:r>
      <w:r>
        <w:t xml:space="preserve"> </w:t>
      </w:r>
      <w:r>
        <w:t xml:space="preserve">of LiteRev-Evidence before clinical data connect. Feasibility rests on</w:t>
      </w:r>
      <w:r>
        <w:t xml:space="preserve"> </w:t>
      </w:r>
      <w:r>
        <w:rPr>
          <w:bCs/>
          <w:b/>
        </w:rPr>
        <w:t xml:space="preserve">the prototype already existing</w:t>
      </w:r>
      <w:r>
        <w:t xml:space="preserve"> </w:t>
      </w:r>
      <w:r>
        <w:t xml:space="preserve">and on the fallbacks, each leaving the central question answerable.</w: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the T3.1–T3.2 harmonisation and</w:t>
      </w:r>
      <w:r>
        <w:t xml:space="preserve"> </w:t>
      </w:r>
      <w:r>
        <w:t xml:space="preserve">rolling-origin pipeline and the reproducibility engineering behind D1.1 and D3.1; a</w:t>
      </w:r>
      <w:r>
        <w:t xml:space="preserve"> </w:t>
      </w:r>
      <w:r>
        <w:t xml:space="preserve">separately contracted</w:t>
      </w:r>
      <w:r>
        <w:t xml:space="preserve"> </w:t>
      </w:r>
      <w:r>
        <w:rPr>
          <w:bCs/>
          <w:b/>
        </w:rPr>
        <w:t xml:space="preserve">independent extractor</w:t>
      </w:r>
      <w:r>
        <w:t xml:space="preserve"> </w:t>
      </w:r>
      <w:r>
        <w:t xml:space="preserve">(M3–M9) provides T1.2's second extraction</w:t>
      </w:r>
      <w:r>
        <w:t xml:space="preserve"> </w:t>
      </w:r>
      <w:r>
        <w:t xml:space="preserve">arm. No other personnel are requested.</w:t>
      </w:r>
    </w:p>
    <w:p>
      <w:pPr>
        <w:pStyle w:val="BodyText"/>
      </w:pPr>
      <w:r>
        <w:t xml:space="preserve">No serial chain: WP2 falls back to weakly informative priors if WP1 finds extraction inadequate; WP3's open-data track runs regardless of access; WP4's decision analysis is retrospective.</w:t>
      </w:r>
      <w:r>
        <w:t xml:space="preserve"> </w:t>
      </w:r>
      <w:r>
        <w:rPr>
          <w:bCs/>
          <w:b/>
        </w:rPr>
        <w:t xml:space="preserve">What open data alone costs:</w:t>
      </w:r>
      <w:r>
        <w:t xml:space="preserve"> </w:t>
      </w:r>
      <w:r>
        <w:t xml:space="preserve">open series are not emergency-system demand, so the claim narrows and most of WP4 turns illustrative; hence the agreements are a pre-award action.</w:t>
      </w:r>
    </w:p>
    <w:p>
      <w:pPr>
        <w:pStyle w:val="BodyText"/>
      </w:pPr>
      <w:r>
        <w:drawing>
          <wp:inline>
            <wp:extent cx="6640000" cy="2627129"/>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627129"/>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Cross-archetype analysis complete; dashboard running and prospectively scored for validated demand-based archetypes where authorised</w:t>
            </w:r>
          </w:p>
        </w:tc>
      </w:tr>
    </w:tbl>
    <w:bookmarkEnd w:id="74"/>
    <w:bookmarkStart w:id="75" w:name="Xfa74544992b8a2e9fab533cfaf936bad7ec032c"/>
    <w:p>
      <w:pPr>
        <w:pStyle w:val="Heading2"/>
      </w:pPr>
      <w:r>
        <w:t xml:space="preserve">2.5 Relevance and impact</w:t>
      </w:r>
    </w:p>
    <w:p>
      <w:pPr>
        <w:pStyle w:val="FirstParagraph"/>
      </w:pPr>
      <w:r>
        <w:rPr>
          <w:bCs/>
          <w:b/>
        </w:rPr>
        <w:t xml:space="preserve">A null result changes identifiable practice.</w:t>
      </w:r>
      <w:r>
        <w:t xml:space="preserve"> </w:t>
      </w:r>
      <w:r>
        <w:t xml:space="preserve">Modellers seed early-crisis models with parameters lifted from a few studies; evidence-synthesis platforms (mine included) assume pooled estimates are reusable as priors; a calibrated null tells both that the practice buys nothing where it matters most.</w:t>
      </w:r>
    </w:p>
    <w:p>
      <w:pPr>
        <w:pStyle w:val="BodyText"/>
      </w:pPr>
      <w:r>
        <w:rPr>
          <w:bCs/>
          <w:b/>
        </w:rPr>
        <w:t xml:space="preserve">Form of publication.</w:t>
      </w:r>
      <w:r>
        <w:t xml:space="preserve"> </w:t>
      </w:r>
      <w:r>
        <w:t xml:space="preserve">Peer-reviewed articles, preprints on submission, open access throughout; benchmarks, prior library and code as</w:t>
      </w:r>
      <w:r>
        <w:t xml:space="preserve"> </w:t>
      </w:r>
      <w:r>
        <w:rPr>
          <w:bCs/>
          <w:b/>
        </w:rPr>
        <w:t xml:space="preserve">citable, versioned open resources</w:t>
      </w:r>
      <w:r>
        <w:t xml:space="preserve">; results returned to the partners. Durable resources, subordinate to the central question:</w:t>
      </w:r>
      <w:r>
        <w:t xml:space="preserve"> </w:t>
      </w:r>
      <w:r>
        <w:rPr>
          <w:bCs/>
          <w:b/>
        </w:rPr>
        <w:t xml:space="preserve">the extraction and replication benchmark</w:t>
      </w:r>
      <w:r>
        <w:t xml:space="preserve">,</w:t>
      </w:r>
      <w:r>
        <w:t xml:space="preserve"> </w:t>
      </w:r>
      <w:r>
        <w:rPr>
          <w:bCs/>
          <w:b/>
        </w:rPr>
        <w:t xml:space="preserve">the public cold-start benchmark</w:t>
      </w:r>
      <w:r>
        <w:t xml:space="preserve">, an</w:t>
      </w:r>
      <w:r>
        <w:t xml:space="preserve"> </w:t>
      </w:r>
      <w:r>
        <w:rPr>
          <w:bCs/>
          <w:b/>
        </w:rPr>
        <w:t xml:space="preserve">open reference framework</w:t>
      </w:r>
      <w:r>
        <w:t xml:space="preserve"> </w:t>
      </w:r>
      <w:r>
        <w:t xml:space="preserve">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are informative; the project quantifies whether external evidence improves those decisions, and with what residual uncertainty.</w:t>
      </w:r>
    </w:p>
    <w:p>
      <w:pPr>
        <w:pStyle w:val="BodyText"/>
      </w:pPr>
      <w:r>
        <w:rPr>
          <w:bCs/>
          <w:b/>
        </w:rPr>
        <w:t xml:space="preserve">Where this points operationally.</w:t>
      </w:r>
      <w:r>
        <w:t xml:space="preserve"> </w:t>
      </w:r>
      <w:r>
        <w:t xml:space="preserve">Each validated demand-based archetype leaves a registered, automatically re-validated configuration and, where authorised, a daily observation-mode dashboard, running and prospectively verified, in the hands of the services that would use it. Extending that nucleus into a multi-crisis surveillance platform is the explicit post-grant pathway; this project supplies the validated core and the update rules.</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lacked is a research agenda of my own.</w:t>
      </w:r>
    </w:p>
    <w:tbl>
      <w:tblPr>
        <w:tblStyle w:val="Table"/>
        <w:tblW w:w="10546" w:type="dxa"/>
        <w:tblLook w:firstRow="1" w:lastRow="0" w:firstColumn="0" w:lastColumn="0" w:noHBand="0" w:noVBand="0" w:val="0020"/>
        <w:jc w:val="start"/>
        <w:tblLayout w:type="fixed"/>
      </w:tblPr>
      <w:tblGrid>
        <w:gridCol w:w="2167"/>
        <w:gridCol w:w="3832"/>
        <w:gridCol w:w="1560"/>
        <w:gridCol w:w="298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 borrowing helps at cold start, and when it harms</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it uses existing infrastructures to test a question that is a work package of none of them.</w:t>
      </w:r>
    </w:p>
    <w:p>
      <w:pPr>
        <w:pStyle w:val="BodyText"/>
      </w:pPr>
      <w:r>
        <w:rPr>
          <w:bCs/>
          <w:b/>
        </w:rPr>
        <w:t xml:space="preserve">The question and the methods are mine.</w:t>
      </w:r>
      <w:r>
        <w:t xml:space="preserve"> </w:t>
      </w:r>
      <w:r>
        <w:t xml:space="preserve">The question arose while I was building LiteRev-Evidence: the platform could pool published estimates into priors, and nothing established whether they improved forecasting in a new setting. The methodological core came from fifteen years of quantitative finance, from no group I have worked in; the platform was developed at UNIGE under my scientific direction.</w:t>
      </w:r>
    </w:p>
    <w:p>
      <w:pPr>
        <w:pStyle w:val="BodyText"/>
      </w:pPr>
      <w:r>
        <w:rPr>
          <w:bCs/>
          <w:b/>
        </w:rPr>
        <w:t xml:space="preserve">Collaborators and their roles.</w:t>
      </w:r>
      <w:r>
        <w:t xml:space="preserve"> </w:t>
      </w:r>
      <w:r>
        <w:t xml:space="preserve">Prof. Olivia Keiser leads the group in which I developed LiteRev; she also leads the legionellosis study, GeoAI4EI and the MAS on which I teach; she co-authors my output (expected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transition.</w:t>
      </w:r>
      <w:r>
        <w:t xml:space="preserve"> </w:t>
      </w:r>
      <w:r>
        <w:t xml:space="preserve">Hosted by the</w:t>
      </w:r>
      <w:r>
        <w:t xml:space="preserve"> </w:t>
      </w:r>
      <w:r>
        <w:rPr>
          <w:bCs/>
          <w:b/>
        </w:rPr>
        <w:t xml:space="preserve">Institute of Global Health</w:t>
      </w:r>
      <w:r>
        <w:t xml:space="preserve">, I will lead an independent programme alongside its groups rather than inside one; the guarantees are in the confirmation letters. The programme is executable by the PI and budgeted support personnel:</w:t>
      </w:r>
      <w:r>
        <w:t xml:space="preserve"> </w:t>
      </w:r>
      <w:r>
        <w:rPr>
          <w:bCs/>
          <w:b/>
        </w:rPr>
        <w:t xml:space="preserve">no named individual other than the PI is scientifically load-bearing.</w:t>
      </w:r>
    </w:p>
    <w:p>
      <w:pPr>
        <w:pStyle w:val="BodyText"/>
      </w:pPr>
      <w:r>
        <w:rPr>
          <w:bCs/>
          <w:b/>
        </w:rPr>
        <w:t xml:space="preserve">Where this leads.</w:t>
      </w:r>
      <w:r>
        <w:t xml:space="preserve"> </w:t>
      </w:r>
      <w:r>
        <w:t xml:space="preserve">By month 48: a validated answer and a first-author record: the basis for group leadership or a professorship. Ambizione consolidates my research time into one programme.</w: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2026-10-08T07:27:22Z</dcterms:created>
  <dcterms:modified xsi:type="dcterms:W3CDTF">2026-10-08T07:27:22Z</dcterms:modified>
</cp:coreProperties>
</file>

<file path=docProps/custom.xml><?xml version="1.0" encoding="utf-8"?>
<Properties xmlns="http://schemas.openxmlformats.org/officeDocument/2006/custom-properties" xmlns:vt="http://schemas.openxmlformats.org/officeDocument/2006/docPropsVTypes"/>
</file>