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available. Weather and air-quality measurements, calendar effects, wastewater and public surveillance data can often be obtained from public feeds or established partners. The main gap is not usually a lack of these contextual data. It is the lack of localised, timely, reliable data for the emergency episode of interest. Historical local records may be extensive. However, they are unlikely to immediately show how the new episode affects cause-specific emergency demand. The model must be able to approximate and update that relationship as new outcome data become available.</w:t>
      </w:r>
    </w:p>
    <w:p>
      <w:pPr>
        <w:pStyle w:val="BodyText"/>
      </w:pPr>
      <w:r>
        <w:t xml:space="preserve">HEADSTART asks whether published evidence from other settings and past events can improve forecasts before enough outcomes from the current episode are available, and whether the method can detect when that evidence is misleading. Published studies help identify plausible parameter values, relevant explanatory variables and their lags, suitable model forms, and outcome definitions and warning thresholds. A prior is a probability distribution for model parameters before it is updated with outcomes from the current episode. It represents uncertainty rather than treating a published estimate as exact. HEADSTART will extract this information, measure extraction error and assess how relevant each finding is to the local setting. The main focus is on comparing an evidence-informed strategy to a reference strategy. Both employ the same available context feeds, previous local outcomes, and the outcomes observed so far in the current episode. Only the evidence-informed strategy uses information extracted from published studies to refine its parameter distributions and model choices.</w:t>
      </w:r>
    </w:p>
    <w:p>
      <w:pPr>
        <w:pStyle w:val="BodyText"/>
      </w:pPr>
      <w:r>
        <w:t xml:space="preserve">The work has four linked parts. In the first, I will benchmark automated extraction against an independently adjudicated sample and analyse how extraction errors affect the uncertainty of the model inputs. I will then build a model that forecasts the target quantity and expresses it as ordered levels of pressure on the health system, with the number of levels and their thresholds taken first from the evidence and fixed before any test. I will replay past events using only the information available at the time of the forecast, and compare the two strategies. I will evaluate whether differences in forecast quality would influence operational decisions. Both strategies receive the same weather, air-quality, calendar and surveillance data, and make use of the same local historical outcomes. Prior to evaluating forecast performance, candidate models are chosen using the same criteria for both strategies.</w:t>
      </w:r>
    </w:p>
    <w:p>
      <w:pPr>
        <w:pStyle w:val="BodyText"/>
      </w:pPr>
      <w:r>
        <w:t xml:space="preserve">The Geneva tests cover three types of crisis with different causes. The main test is based on respiratory epidemics, for which published evidence is comparatively abundant. The second test, run only if the first succeeds, is based on heat-related demand. The third, in year four, is based on legionellosis and uses a linked case-environment dataset to forecast case incidence. Before clinical data are analysed, the methods will be validated on open Swiss series and released as a public benchmark. If published evidence improves forecasts, the project will show when and by how much. If it has no benefit or causes harm, the result will define where it should not be used. For the crisis types that pass validation and that the services authorise, forecasts will run in a daily observation-mode dashboard and be scored against outcomes as they arrive. The dashboard will not direct clinical care.</w:t>
      </w:r>
    </w:p>
    <w:p>
      <w:pPr>
        <w:pStyle w:val="BodyText"/>
      </w:pPr>
      <w:r>
        <w:t xml:space="preserve">I trained as an econometrician, at the junction of statistics, mathematics and machine learning, and spent eleven years in quantitative finance working on rare-event risk, regime changes and stress testing, and I am a certified Financial Risk Manager. A doctorate in biomedical sciences at Geneva brought these methods to public health. I conceived and built LiteRev with Aziza Merzouki in Olivia Keiser's group and extended it into LiteRev-Evidence, the prototype for structured evidence extraction and model comparison, and through GESICA I work daily with Geneva's emergency and surveillance data.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[Farrington 1996; Noufaily 2013], and ensembles of forecasting models perform strongly in data-rich settings [Cramer 2022; Sherratt 2023]. Emergency dispatch records move ahead of confirmed surveillance. The autumn onset of the 2009 A(H1N1) pandemic was identified eight days early in three European regions [Rosenkötter 2013], long series of emergency calls track influenza-like illness [Bonora 2025], and our systematic review maps the field [Edjinedja 2026].</w:t>
      </w:r>
    </w:p>
    <w:p>
      <w:pPr>
        <w:pStyle w:val="BodyText"/>
      </w:pPr>
      <w:r>
        <w:t xml:space="preserve">Usually, the problem is not a lack of context data. Weather and air-quality measurements, calendar effects, wastewater and some surveillance indicators may be available in near real time through public feeds or partners, and they can be linked automatically to a forecasting model. What is missing at onset, and what typically defines the scope of the problem, is data reflecting the outcome of interest. Often, the new episode differs from previous episodes in terms of population affected, the nature of the drivers, and severity of impact. The relationship between the context and the outcome must therefore be checked as new outcomes become available.</w:t>
      </w:r>
    </w:p>
    <w:p>
      <w:pPr>
        <w:pStyle w:val="BodyText"/>
      </w:pPr>
      <w:r>
        <w:t xml:space="preserve">Google Flu Trends illustrates why indirect indicators cannot replace outcome validation. It overestimated influenza by more than a factor of two [Lazer 2014]. Published findings may help, provided that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There are methods for integrating previously published studies in forecasts by assessing uncertainty and relevance. These include power priors [Ibrahim 2000], commensurate priors [Hobbs 2011] and robust meta-analytic-predictive priors [Schmidli 2014]. Informative priors have also been used to forecast diseases with limited local data [Cook 2023]. What has not been shown is whether an automated pipeline can extract published evidence, preserve its uncertainty, assess its relevance to the new setting and improve forecasts of local health-system demand at crisis onset.</w:t>
      </w:r>
    </w:p>
    <w:p>
      <w:pPr>
        <w:pStyle w:val="BodyText"/>
      </w:pPr>
      <w:r>
        <w:t xml:space="preserve">There are various ways that published evidence can inform forecasting. Studies can identify or suggest which variables and time lags are relevant, the types of models, and how to define outcomes or warning thresholds. In some sectors, these forms of evidence are synthesised in living systematic reviews [Elliott 2014] to remain up to date. To my knowledge, evidence in these various formats has not been integrated and tested in a real-world forecasting context to fill historical data gaps.</w:t>
      </w:r>
    </w:p>
    <w:p>
      <w:pPr>
        <w:pStyle w:val="BodyText"/>
      </w:pPr>
      <w:r>
        <w:t xml:space="preserve">Automated extraction makes large-scale evidence synthesis possible, but extraction of numerical results is less reliable than extraction of categories (reported accuracy roughly 47–88% versus 74–96%), and omissions account for a large share of errors [Shankar 2026]. HEADSTART will test whether these errors systematically understate uncertainty and whether an explicit measurement-error model can correct the resulting distributions.</w:t>
      </w:r>
    </w:p>
    <w:p>
      <w:pPr>
        <w:pStyle w:val="BodyText"/>
      </w:pPr>
      <w:r>
        <w:t xml:space="preserve">Even when an estimate has been published, it may not apply to a given local setting due to variations in population, case definitions, the health service or health-system organisation, and policy. Formal methods to assess the transferability of estimates exist [Bareinboim 2016; Dahabreh 2020; Degtiar 2023], but they have not been combined with automated evidence extraction, and their effect on forecasts of health-system demand at the onset of a crisis has not been assessed.</w:t>
      </w:r>
    </w:p>
    <w:bookmarkEnd w:id="22"/>
    <w:bookmarkStart w:id="23" w:name="X8d342a1ae2f8c82ff8e9121d007457c97fd6ea7"/>
    <w:p>
      <w:pPr>
        <w:pStyle w:val="Heading3"/>
      </w:pPr>
      <w:r>
        <w:t xml:space="preserve">2.1.3 Escalation of the demand for the service should also be assessed</w:t>
      </w:r>
    </w:p>
    <w:p>
      <w:pPr>
        <w:pStyle w:val="FirstParagraph"/>
      </w:pPr>
      <w:r>
        <w:t xml:space="preserve">Emergency services need to know not only how many calls or presentations to expect, but also whether demand is approaching a level that requires action. Surveillance research has used hidden Markov models to distinguish epidemic from non-epidemic periods [Le Strat 1999; Watkins 2009], while extreme-value methods describe rare high-demand events [Coles 2001], including hospital congestion in Switzerland [Ranjbar 2022]. HEADSTART expresses forecasts as ordered levels of pressure on the system, so that candidate models can be compared on the same scale. The number of levels and their thresholds are taken first from the published definitions of outcomes and warning thresholds, and four levels (routine, elevated, strained, critical) are the default only where the literature is silent. Mechanistic transmission models [Keeling 2008] are considered only for infectious crises, and heat-related demand is modelled through exposure and response. Recent changes in variance and lag-one autocorrelation, which rise before some transitions [Scheffer 2009] and have been studied in epidemics [O'Regan 2013; Brett 2018; Southall 2021], are also tested as possible additional indicators of an approaching transition, not assumed to be reliable early-warning signals.</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becomes useful when it affects a decision in a defensible manner. Proper scoring rules evaluate probabilistic forecasts, including their calibration [Gneiting 2007], while decision-analytic methods assess predictions in light of their consequences [Vickers 2006]. Heat thresholds based on mortality need not match thresholds for service demand [Lung 2021], and reported pollution–asthma emergency associations vary across settings [Zheng 2015]. HEADSTART will evaluate forecasts statistically first, then under a loss structure elicited from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programmes and projects include the ECDC RespiCast and FluSight (CDC, USA) forecasting hubs, the GeoAI4EI project (Horizon Europe), and the GESICA project (France-Switzerland). Here, the focus is on a different issue. In the absence of sufficient data, is it beneficial to use evidence from previous studies to automatically forecast the demand for a service? HEADSTART addresses this question with a controlled comparison registered in advance, using the same data streams for both strategies and a historical reconstruction that excludes later data.</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I studied quantitative economics and econometrics (MSc and DEA, University of Geneva), a discipline at the junction of statistics, mathematics and machine learning, built around modelling and prediction. I then worked for eleven years in quantitative finance on risk, extreme values, regime models and stress testing, and became a certified Financial Risk Manager (FRM), before completing a doctorate in biomedical sciences at Geneva (defended 18 December 2023). This combination provides the methods for forecasting rare events and the public-health training to apply them to emergency services.</w:t>
      </w:r>
    </w:p>
    <w:bookmarkStart w:id="27" w:name="X79f512daa76dde01429b5fcb893d8ff3c91b25a"/>
    <w:p>
      <w:pPr>
        <w:pStyle w:val="Heading3"/>
      </w:pPr>
      <w:r>
        <w:t xml:space="preserve">2.2.1 Prediction under sparse and imperfect information</w:t>
      </w:r>
    </w:p>
    <w:p>
      <w:pPr>
        <w:pStyle w:val="FirstParagraph"/>
      </w:pPr>
      <w:r>
        <w:t xml:space="preserve">In [Orel 2022] I used socio-behavioural attributes to predict HIV status at the individual level for East and Southern Africa and determined the contexts where model relationships transferred. [Merzouki 2021] and [Esra 2023] performed similar studies. As last author of [Ng'ambi 2026] (accepted), I directed the classification of self-reported cardiovascular disease across harmonised WHO STEPS surveys, a senior role on the question of when model relationships transfer across settings.</w:t>
      </w:r>
    </w:p>
    <w:bookmarkEnd w:id="27"/>
    <w:bookmarkStart w:id="28" w:name="Xba523bf0c9ce96e07c41e7deb8806875f5dbd29"/>
    <w:p>
      <w:pPr>
        <w:pStyle w:val="Heading3"/>
      </w:pPr>
      <w:r>
        <w:t xml:space="preserve">2.2.2 Automated evidence synthesis</w:t>
      </w:r>
    </w:p>
    <w:p>
      <w:pPr>
        <w:pStyle w:val="FirstParagraph"/>
      </w:pPr>
      <w:r>
        <w:t xml:space="preserve">I conceived and built LiteRev [Orel 2023] with Aziza Merzouki (PhD, computer science), in Prof. Olivia Keiser's group. The tool automatically performs systematic searches using natural language or Boolean queries, removes duplicates and maps the literature. On my own initiative I raised CHF 30,000 from UNIGE, CHF 10,000 from the Fondation Ernst et Lucie Schmidheiny, CHF 10,000 from Venture Kick and CHF 20,000 from Mimosa. The systematic review of AI in emergency medical services [Edjinedja 2026] uses LiteRev in its methods as part of GESICA.</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 sub-lineages in a Swiss tertiary centre. [Estill 2020] developed age-structured scenarios for the Swiss SARS-CoV-2 epidemic to support decisions under time pressure. That work helped motivate the present question. I also contributed to WHO African Region 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extended LiteRev into LiteRev-Evidence, a prototype for structured numerical extraction and modelling. In its current form it searches and deduplicates the literature, records screening decisions with PRISMA accounting, extracts study details and PICO elements (population, intervention, comparator and outcome), tracks the source and certainty of each extracted number, and pools results into distributions of plausible parameter values. It suggests explanatory variables with their supporting studies, identifies candidate outcomes, fits models across algorithm families with time-series validation, and builds compartmental model components from published parameter ranges. Evidence updates are reviewed before they are applied. These functions exist as a prototype only. None has yet been verified, measured or validated, and that is the work of this grant.</w:t>
      </w:r>
    </w:p>
    <w:p>
      <w:pPr>
        <w:pStyle w:val="BodyText"/>
      </w:pPr>
      <w:r>
        <w:t xml:space="preserve">For GESICA I built the data foundation of the Geneva–Vaud–Neuchâtel network for influenza, COVID-19 and RSV, whose Geneva component HEADSTART uses. It includes an inventory of 28 surveillance sources (23 infectious and 5 environmental), each described by coverage, resolution, latency, access and quality. Within GeoAI4EI (Horizon Europe, 2026–2030) I contribute to the European epidemic-intelligence toolbox, which connects this work to European partners.</w:t>
      </w:r>
    </w:p>
    <w:p>
      <w:pPr>
        <w:pStyle w:val="BodyText"/>
      </w:pPr>
      <w:r>
        <w:t xml:space="preserve">The prototype reduces development risk, since its literature-search, extraction and model-selection components already run in preliminary form. The grant focuses on the scientific questions that remain open, namely whether the extracted evidence is sufficiently reliable, whether it transfers to local settings and whether it improves forecasts under the registered comparison.</w:t>
      </w:r>
    </w:p>
    <w:bookmarkEnd w:id="30"/>
    <w:bookmarkStart w:id="31" w:name="X1fa1d02bb9f188520110e9eb1f6566fa8b79aa3"/>
    <w:p>
      <w:pPr>
        <w:pStyle w:val="Heading3"/>
      </w:pPr>
      <w:r>
        <w:t xml:space="preserve">2.2.5 Linked data on a contrasting crisis type</w:t>
      </w:r>
    </w:p>
    <w:p>
      <w:pPr>
        <w:pStyle w:val="FirstParagraph"/>
      </w:pPr>
      <w:r>
        <w:t xml:space="preserve">I lead the data work for a cantonal study already under way (BASEC 2026-00324, ethics granted) that links confirmed legionellosis cases in Geneva to individual domestic hot-water installations. These linked data are the basis of the third test, on legionellosis case incidence, in year four.</w:t>
      </w:r>
    </w:p>
    <w:p>
      <w:pPr>
        <w:pStyle w:val="BodyText"/>
      </w:pPr>
      <w:r>
        <w:t xml:space="preserve">My finance work provides experience in Bayesian hierarchical modelling, regime changes, extreme values and stress testing under misspecification. LiteRev-Evidence provides extraction and pooling. My doctorate, the Swiss COVID-19 work and GESICA provide the Geneva and public-health context.</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help estimate the relationship between the inputs and the outcome of interest, provided its uncertainty and local relevance are represented.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Does automated extraction preserve the uncertainty reported in studies?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the model reduce reliance on published evidence when it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2845714"/>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845714"/>
                    </a:xfrm>
                    <a:prstGeom prst="rect">
                      <a:avLst/>
                    </a:prstGeom>
                    <a:noFill/>
                    <a:ln w="9525">
                      <a:noFill/>
                      <a:headEnd/>
                      <a:tailEnd/>
                    </a:ln>
                  </pic:spPr>
                </pic:pic>
              </a:graphicData>
            </a:graphic>
          </wp:inline>
        </w:drawing>
      </w:r>
    </w:p>
    <w:p>
      <w:pPr>
        <w:pStyle w:val="BodyText"/>
      </w:pPr>
      <w:r>
        <w:rPr>
          <w:iCs/>
          <w:i/>
        </w:rPr>
        <w:t xml:space="preserve">Figure 1. What exists at the start of a crisis, what HEADSTART does (WP1 to WP4), the test, and where it runs.</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w:t>
      </w:r>
    </w:p>
    <w:p>
      <w:pPr>
        <w:pStyle w:val="FirstParagraph"/>
      </w:pPr>
      <w:r>
        <w:t xml:space="preserve">Automated extraction also misses numbers entirely [Shankar 2026].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this advantage lasts as outcomes come in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made wrong,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Heat is tested only if the respiratory test passes, so that one test does not inflate the chance of a false positive in the other.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in a way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 Legionellosis is the third test, in year four, on the linked case-environment data, and forecasts case incidence rather than demand. No fourth domain is planned. The outcome, the population and the pathogen of each test are not fixed in this plan. The plan registers a short list of clinically relevant outcomes, cause-filtered emergency calls (CASU-144), emergency-department visits by cause, hospital admissions or occupancy, and ICU occupancy, filtered by the causes and population groups that the evidence supports [Schulte 2024; Ragettli 2019]. The target is selected from this hierarchy on access, data quality, resolution and operational relevance, before any forecast performance is compared, and it does not change afterwards. Open public series support the validation of the methods but are not presented as a substitute for local service-demand data. A month-12 data gate checks that the selected target meets the registered criteria, otherwise the next outcome in the hierarchy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edc8eba5007710010c26f0d188cd5b9fd6c14f4"/>
    <w:p>
      <w:pPr>
        <w:pStyle w:val="Heading5"/>
      </w:pPr>
      <w:r>
        <w:t xml:space="preserve">T1.1. Define the evidence target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[Wargon 2009]. (4) How studies define outcomes and warning thresholds [Lung 2021]. The numbers are the subject of the extraction benchmark. The other three kinds are recorded with their source and a certainty grade and compared with published reviews.</w:t>
      </w:r>
    </w:p>
    <w:bookmarkEnd w:id="43"/>
    <w:bookmarkStart w:id="44" w:name="X6a0faf3a0070b42dad420c82deb40ef5734c23e"/>
    <w:p>
      <w:pPr>
        <w:pStyle w:val="Heading5"/>
      </w:pPr>
      <w:r>
        <w:t xml:space="preserve">T1.2. Build the quantitative extraction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Disagreements are settled by discussion and the decision is recorded.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1f0f12e8d6f84b4ee5e4c739d1c5cd9f8ae9623"/>
    <w:p>
      <w:pPr>
        <w:pStyle w:val="Heading5"/>
      </w:pPr>
      <w:r>
        <w:t xml:space="preserve">T1.3. Characterise automated extraction error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9cdeccc86e5c88b64f2110c6ca75497fb99dce6"/>
    <w:p>
      <w:pPr>
        <w:pStyle w:val="Heading5"/>
      </w:pPr>
      <w:r>
        <w:t xml:space="preserve">T1.4. Construct uncertainty-aware evidence distributions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t15-transportability-screen-m15m20"/>
    <w:p>
      <w:pPr>
        <w:pStyle w:val="Heading5"/>
      </w:pPr>
      <w:r>
        <w:t xml:space="preserve">T1.5. Transportability screen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expert time is limited, the benchmark narrows to the core parameter classes.</w:t>
      </w:r>
    </w:p>
    <w:bookmarkEnd w:id="47"/>
    <w:bookmarkEnd w:id="48"/>
    <w:bookmarkStart w:id="54" w:name="Xc0434c24ca00f6b112465fd7b991c18f654948c"/>
    <w:p>
      <w:pPr>
        <w:pStyle w:val="Heading4"/>
      </w:pPr>
      <w:r>
        <w:t xml:space="preserve">WP2. Model levels of health-system pressure (M1–M28)</w:t>
      </w:r>
    </w:p>
    <w:bookmarkStart w:id="49" w:name="Xcfcc11e2b7bec828711203675136706e3bef48c"/>
    <w:p>
      <w:pPr>
        <w:pStyle w:val="Heading5"/>
      </w:pPr>
      <w:r>
        <w:t xml:space="preserve">T2.1. Specify and identify the state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[Hamilton 1989].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represent-the-critical-tail-m6m14"/>
    <w:p>
      <w:pPr>
        <w:pStyle w:val="Heading5"/>
      </w:pPr>
      <w:r>
        <w:t xml:space="preserve">T2.2. Represent the critical tail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e333bd844ed9d0b4a6f19dd7593b876e27462b4"/>
    <w:p>
      <w:pPr>
        <w:pStyle w:val="Heading5"/>
      </w:pPr>
      <w:r>
        <w:t xml:space="preserve">T2.3. Include published evidence in the model parameters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and commensurate priors are run as sensitivity checks.</w:t>
      </w:r>
    </w:p>
    <w:bookmarkEnd w:id="51"/>
    <w:bookmarkStart w:id="52" w:name="Xb9bfd8debfdb203fd11e999ef1fb877424883c9"/>
    <w:p>
      <w:pPr>
        <w:pStyle w:val="Heading5"/>
      </w:pPr>
      <w:r>
        <w:t xml:space="preserve">T2.4. Add resilience indicators as a secondary information channel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319ea3cda6221798b95d6fb40987f10f35f77e1"/>
    <w:p>
      <w:pPr>
        <w:pStyle w:val="Heading5"/>
      </w:pPr>
      <w:r>
        <w:t xml:space="preserve">T2.5. Calibration, automation and validity monitoring (M20–M28)</w:t>
      </w:r>
    </w:p>
    <w:p>
      <w:pPr>
        <w:pStyle w:val="FirstParagraph"/>
      </w:pPr>
      <w:r>
        <w:t xml:space="preserve">Forecast probabilities are calibrated with methods made for data that change over time, and conformal prediction [Angelopoulos 2023; Barber 2023] is tried as an extra check where its assumptions hold.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11394d15ad926b825360dd8c79c1031038fa8f4"/>
    <w:p>
      <w:pPr>
        <w:pStyle w:val="Heading4"/>
      </w:pPr>
      <w:r>
        <w:t xml:space="preserve">WP3. Test forecasts using historically available information (M12–M42)</w:t>
      </w:r>
    </w:p>
    <w:bookmarkStart w:id="55" w:name="Xa694a77d033b61f3d1e7d09fe04f1af6ed4966d"/>
    <w:p>
      <w:pPr>
        <w:pStyle w:val="Heading5"/>
      </w:pPr>
      <w:r>
        <w:t xml:space="preserve">T3.0. Outcome hierarchy, data-access gate and episode eligibility (M1–M14)</w:t>
      </w:r>
    </w:p>
    <w:p>
      <w:pPr>
        <w:pStyle w:val="FirstParagraph"/>
      </w:pPr>
      <w:r>
        <w:t xml:space="preserve">Outcomes. The outcomes considered are, in order, cause-filtered emergency calls (CASU-144), emergency-department visits by cause, hospital admissions or occupancy, and ICU occupancy. For each test, the target is chosen from this list on access, data quality, time resolution and usefulness for the services, before any forecast is compared. The causes and population groups used to filter it come from the evidence, not from this plan. Once chosen, the target stays fixed, so that no outcome can be picked afterwards because it gives better results. The other outcomes serve as extra inputs for the pressure model. Weather, air quality, wastewater, sentinel consultations and calendar effects are context inputs. Open public series help validate the methods but do not replace local service data. The design is single-canton on purpose, and transfer is tested across the three crisis types and on the open national benchmark.</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Respiratory viruses circulating at the same time count as one episode.</w:t>
      </w:r>
    </w:p>
    <w:p>
      <w:pPr>
        <w:pStyle w:val="BodyText"/>
      </w:pPr>
      <w:r>
        <w:t xml:space="preserve">Registration. The outcome list, the gate and the eligibility rules are registered first. After the month-12 check, but before any performance is seen, a second registration fixes the early-episode window N, the main forecast horizon per crisis type and the margin Δ. Horizons follow what the services need, not results.</w:t>
      </w:r>
    </w:p>
    <w:p>
      <w:pPr>
        <w:pStyle w:val="BodyText"/>
      </w:pPr>
      <w:r>
        <w:t xml:space="preserve">Open-data track (M12–M24). Before clinical records are connected, the whole pipeline runs on open Swiss series (federal respiratory surveillance, national wastewater data, weekly deaths and MeteoSwiss weather), with archived multi-model forecasts as comparators [Cramer 2022; Sherratt 2023]. This checks that the replay and selection machinery works.</w:t>
      </w:r>
    </w:p>
    <w:bookmarkEnd w:id="55"/>
    <w:bookmarkStart w:id="56" w:name="X70eeaa2d41fea3b2059b80eb07a5f9cd68164b6"/>
    <w:p>
      <w:pPr>
        <w:pStyle w:val="Heading5"/>
      </w:pPr>
      <w:r>
        <w:t xml:space="preserve">T3.1. Assemble the retrospective information set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[Höhle 2014; McGough 2020], because reporting tends to slow down under pressure and can look like an early warning. The HUG COVID-19 hospitalisation data I analysed before [Orel 2024] are requested again as an extra series to check and calibrate the respiratory models. Pharmacy sales and wastewater measurements are requested through the cantonal pharmacist and used as early indicators where access and coverage allow.</w:t>
      </w:r>
    </w:p>
    <w:bookmarkEnd w:id="56"/>
    <w:bookmarkStart w:id="57" w:name="X732c8171905058a06d4900e04fc44f0e3e215e1"/>
    <w:p>
      <w:pPr>
        <w:pStyle w:val="Heading5"/>
      </w:pPr>
      <w:r>
        <w:t xml:space="preserve">T3.2. Reconstruct the true information set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1b4be48293d1c4b7fa098a795079a0b73a54d6d"/>
    <w:p>
      <w:pPr>
        <w:pStyle w:val="Heading5"/>
      </w:pPr>
      <w:r>
        <w:t xml:space="preserve">T3.3. The model library and the automated selection engine (M20–M34)</w:t>
      </w:r>
    </w:p>
    <w:p>
      <w:pPr>
        <w:pStyle w:val="FirstParagraph"/>
      </w:pPr>
      <w:r>
        <w:t xml:space="preserve">Two strategies are registered before evaluation. The reference strategy uses a registered set of standard forecasting models (seasonal regression, persistence, surveillance alarm methods [Salmon 2016],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only if Test 1 passes. If Test 1 fails, H3a is not supported and the heat comparison is exploratory.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being the unit of analysis because only 13 to 14 candidate respiratory episodes exist. A paired permutation test and a bootstrap over whole episodes are both registered. Simulations run before the second registration set the type-I error, the power, the smallest number of episodes for a confirmatory claim and the window N, without using any forecast result. The minimum relevant improvement is fixed at the second registration by a rule based on operational relevance, and Δ is half of it. Secondary measures are the log score, calibration and the detection of escalation at matched false-alarm rates. For H3b, adaptive weighting passes when its skill score is no more than Δ below fixed weighting with correct evidence and better than fixed weighting with shifted evidence.</w:t>
      </w:r>
    </w:p>
    <w:bookmarkEnd w:id="58"/>
    <w:bookmarkStart w:id="59" w:name="t34-map-benefit-and-failure-m28m38"/>
    <w:p>
      <w:pPr>
        <w:pStyle w:val="Heading5"/>
      </w:pPr>
      <w:r>
        <w:t xml:space="preserve">T3.4. Map benefit and failure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test-generalisation-m34m42"/>
    <w:p>
      <w:pPr>
        <w:pStyle w:val="Heading5"/>
      </w:pPr>
      <w:r>
        <w:t xml:space="preserve">T3.5. Test generalisation (M34–M42)</w:t>
      </w:r>
    </w:p>
    <w:p>
      <w:pPr>
        <w:pStyle w:val="FirstParagraph"/>
      </w:pPr>
      <w:r>
        <w:t xml:space="preserve">The heat test is the second test. The legionellosis test, in year four, applies the same comparison to case-incidence forecasts at the start of an outbreak, using the linked case-environment data.</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of local emergency demand. If access fails, the scientific claim narrows and the decision analysis is limited accordingly.</w:t>
      </w:r>
    </w:p>
    <w:bookmarkEnd w:id="60"/>
    <w:bookmarkEnd w:id="61"/>
    <w:bookmarkStart w:id="65" w:name="X817573a182041657fbc376b8819e3f332001f1c"/>
    <w:p>
      <w:pPr>
        <w:pStyle w:val="Heading4"/>
      </w:pPr>
      <w:r>
        <w:t xml:space="preserve">WP4. From predictive skill to operational value (M24–M48)</w:t>
      </w:r>
    </w:p>
    <w:bookmarkStart w:id="62" w:name="Xf4a9556a51514f6c6cfe18f6354d6daf4608cf0"/>
    <w:p>
      <w:pPr>
        <w:pStyle w:val="Heading5"/>
      </w:pPr>
      <w:r>
        <w:t xml:space="preserve">T4.1. Elicit operational losses and thresholds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4cfbd1a8ade59679f40817fa3772f5316ec74f9"/>
    <w:p>
      <w:pPr>
        <w:pStyle w:val="Heading5"/>
      </w:pPr>
      <w:r>
        <w:t xml:space="preserve">T4.2. Decision-analytic evaluation and equity audit (M30–M40)</w:t>
      </w:r>
    </w:p>
    <w:p>
      <w:pPr>
        <w:pStyle w:val="FirstParagraph"/>
      </w:pPr>
      <w:r>
        <w:t xml:space="preserve">The WP3 forecasts are re-assessed on the decisions they would trigger, with net-benefit, decision-curve and value-of-information methods, to see whether the ranking of the models changes once the costs of wrong decisions are counted. Calibration and threshold performance are also checked across groups by age, sex and, where the data allow, neighbourhood deprivation. A model that is well calibrated overall but poor for a group that matters for decisions does not pass.</w:t>
      </w:r>
    </w:p>
    <w:bookmarkEnd w:id="63"/>
    <w:bookmarkStart w:id="64" w:name="X12c081cf56367bd4c71fa0269d3fcc441aaadcf"/>
    <w:p>
      <w:pPr>
        <w:pStyle w:val="Heading5"/>
      </w:pPr>
      <w:r>
        <w:t xml:space="preserve">T4.3. Counterfactuals, observation-mode dashboard and living updating (M34–M48)</w:t>
      </w:r>
    </w:p>
    <w:p>
      <w:pPr>
        <w:pStyle w:val="FirstParagraph"/>
      </w:pPr>
      <w:r>
        <w:t xml:space="preserve">For selected past episodes, a simple capacity model estimates what might have changed had escalation followed the forecast. Uncertainty is carried through and the results are not presented as causal. 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[Elliott 2014].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(counterfactual analysis and, where authorised, the dashboard and update protocol).</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public forecasting benchmark, the library of evidence-derived inputs and the decision-analysis framework),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2089"/>
        <w:gridCol w:w="2339"/>
        <w:gridCol w:w="3151"/>
        <w:gridCol w:w="2967"/>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w:t>
            </w:r>
          </w:p>
        </w:tc>
      </w:tr>
      <w:tr>
        <w:tc>
          <w:tcPr/>
          <w:p>
            <w:pPr>
              <w:pStyle w:val="Compact"/>
              <w:jc w:val="left"/>
            </w:pPr>
            <w:r>
              <w:t xml:space="preserve">HUG, emergency department</w:t>
            </w:r>
          </w:p>
        </w:tc>
        <w:tc>
          <w:tcPr/>
          <w:p>
            <w:pPr>
              <w:pStyle w:val="Compact"/>
              <w:jc w:val="left"/>
            </w:pPr>
            <w:r>
              <w:t xml:space="preserve">Prof. Thibaut Desmettre, head of department</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CASU-144, HUG</w:t>
            </w:r>
          </w:p>
        </w:tc>
        <w:tc>
          <w:tcPr/>
          <w:p>
            <w:pPr>
              <w:pStyle w:val="Compact"/>
              <w:jc w:val="left"/>
            </w:pPr>
            <w:r>
              <w:t xml:space="preserve">Dr Robert Larribau</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Douglas Teodoro</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Médecin cantonal and SIG</w:t>
            </w:r>
          </w:p>
        </w:tc>
        <w:tc>
          <w:tcPr/>
          <w:p>
            <w:pPr>
              <w:pStyle w:val="Compact"/>
            </w:pPr>
          </w:p>
        </w:tc>
        <w:tc>
          <w:tcPr/>
          <w:p>
            <w:pPr>
              <w:pStyle w:val="Compact"/>
              <w:jc w:val="left"/>
            </w:pPr>
            <w:r>
              <w:t xml:space="preserve">Legionellosis linked data</w:t>
            </w:r>
          </w:p>
        </w:tc>
        <w:tc>
          <w:tcPr/>
          <w:p>
            <w:pPr>
              <w:pStyle w:val="Compact"/>
              <w:jc w:val="left"/>
            </w:pPr>
            <w:r>
              <w:t xml:space="preserve">Secured, BASEC 2026-00324</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Under the 2026 rules, doctoral students and postdocs cannot be employed, but support personnel can.</w:t>
      </w:r>
    </w:p>
    <w:tbl>
      <w:tblPr>
        <w:tblStyle w:val="Table"/>
        <w:tblW w:w="10546" w:type="dxa"/>
        <w:tblLook w:firstRow="1" w:lastRow="0" w:firstColumn="0" w:lastColumn="0" w:noHBand="0" w:noVBand="0" w:val="0020"/>
        <w:jc w:val="start"/>
        <w:tblLayout w:type="fixed"/>
      </w:tblPr>
      <w:tblGrid>
        <w:gridCol w:w="4155"/>
        <w:gridCol w:w="639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 collaborator, up to 40% over 48 months</w:t>
            </w:r>
          </w:p>
        </w:tc>
        <w:tc>
          <w:tcPr/>
          <w:p>
            <w:pPr>
              <w:pStyle w:val="Compact"/>
              <w:jc w:val="left"/>
            </w:pPr>
            <w:r>
              <w:t xml:space="preserve">Benchmark support, data harmonisation, evaluation pipeline, reproducibility</w:t>
            </w:r>
          </w:p>
        </w:tc>
      </w:tr>
      <w:tr>
        <w:tc>
          <w:tcPr/>
          <w:p>
            <w:pPr>
              <w:pStyle w:val="Compact"/>
              <w:jc w:val="left"/>
            </w:pPr>
            <w:r>
              <w:t xml:space="preserve">Master's student as second extractor, M3–M9</w:t>
            </w:r>
          </w:p>
        </w:tc>
        <w:tc>
          <w:tcPr/>
          <w:p>
            <w:pPr>
              <w:pStyle w:val="Compact"/>
              <w:jc w:val="left"/>
            </w:pPr>
            <w:r>
              <w:t xml:space="preserve">Second extraction arm of the T1.2 benchmark</w:t>
            </w:r>
          </w:p>
        </w:tc>
      </w:tr>
      <w:tr>
        <w:tc>
          <w:tcPr/>
          <w:p>
            <w:pPr>
              <w:pStyle w:val="Compact"/>
              <w:jc w:val="left"/>
            </w:pPr>
            <w:r>
              <w:t xml:space="preserve">Data access, secure storage and processing</w:t>
            </w:r>
          </w:p>
        </w:tc>
        <w:tc>
          <w:tcPr/>
          <w:p>
            <w:pPr>
              <w:pStyle w:val="Compact"/>
              <w:jc w:val="left"/>
            </w:pPr>
            <w:r>
              <w:t xml:space="preserve">Project-specific extractions and secure-environment runs beyond existing infrastructure</w:t>
            </w:r>
          </w:p>
        </w:tc>
      </w:tr>
      <w:tr>
        <w:tc>
          <w:tcPr/>
          <w:p>
            <w:pPr>
              <w:pStyle w:val="Compact"/>
              <w:jc w:val="left"/>
            </w:pPr>
            <w:r>
              <w:t xml:space="preserve">Travel, conferences, incoming visits</w:t>
            </w:r>
          </w:p>
        </w:tc>
        <w:tc>
          <w:tcPr/>
          <w:p>
            <w:pPr>
              <w:pStyle w:val="Compact"/>
              <w:jc w:val="left"/>
            </w:pPr>
            <w:r>
              <w:t xml:space="preserve">Presentation of results,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The scientific collaborator supports the benchmark, the data harmonisation, the evaluation pipeline and reproducibility, and a master's student provides the second extraction arm from months 3 to 9. The work packages run in parallel with fallbacks. WP2 can use weakly informative distributions if extraction error proves too large, the open-data track runs without clinical records, and the retrospective decision analysis of WP4 does not depend on live deployment. The open-data track cannot replace the test on local service data, so access agreements remain a priority before the award.</w:t>
      </w:r>
    </w:p>
    <w:p>
      <w:pPr>
        <w:pStyle w:val="BodyText"/>
      </w:pPr>
      <w:r>
        <w:drawing>
          <wp:inline>
            <wp:extent cx="6640000" cy="262712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700"/>
        <w:gridCol w:w="1560"/>
        <w:gridCol w:w="728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Pressure model passes the identifiability checks, or fallback chosen</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running, service series harmonised (or fallback)</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Main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Three crisis types analysed, dashboard running where authorised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forecasting benchmark, the library of evidence-derived inputs and the code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I have developed the methods, prototype and data relationships that make this project feasible, but much of that work has been carried out within existing programmes. HEADSTART gives me a separate scientific question and a programme that I will lead.</w:t>
      </w:r>
    </w:p>
    <w:tbl>
      <w:tblPr>
        <w:tblStyle w:val="Table"/>
        <w:tblW w:w="10546" w:type="dxa"/>
        <w:tblLook w:firstRow="1" w:lastRow="0" w:firstColumn="0" w:lastColumn="0" w:noHBand="0" w:noVBand="0" w:val="0020"/>
        <w:jc w:val="start"/>
        <w:tblLayout w:type="fixed"/>
      </w:tblPr>
      <w:tblGrid>
        <w:gridCol w:w="2148"/>
        <w:gridCol w:w="3890"/>
        <w:gridCol w:w="1560"/>
        <w:gridCol w:w="2948"/>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HEADSTART is distinct from GESICA and GeoAI4EI, which develop epidemic-intelligence and decision-support capabilities rather than testing published evidence as a forecasting input.</w:t>
      </w:r>
    </w:p>
    <w:p>
      <w:pPr>
        <w:pStyle w:val="BodyText"/>
      </w:pPr>
      <w:r>
        <w:t xml:space="preserve">I conceived and built LiteRev with Aziza Merzouki in Prof. Olivia Keiser's group. My current extension, LiteRev-Evidence, adds structured numerical extraction and modelling. It can turn published estimates into parameter distributions, but whether using those distributions improves forecasts in a new setting has not been established. My quantitative-finance work provides methods for rare events, regime changes and stress testing, and LiteRev-Evidence provides the evidence pipeline. The research question and the confirmatory analyses of HEADSTART are mine.</w:t>
      </w:r>
    </w:p>
    <w:p>
      <w:pPr>
        <w:pStyle w:val="BodyText"/>
      </w:pPr>
      <w:r>
        <w:t xml:space="preserve">Prof. Olivia Keiser, my contact person at the Institute, leads the group in which LiteRev was built and the legionellosis study, and we work together in GeoAI4EI (Horizon Europe) and on the MAS in Public Health, where I have lectured in statistics and epidemiology since 2024. Prof. Douglas Teodoro leads GESICA and supports the text-mining collaboration of WP1. HEADSTART is my own programme, hosted at the Institute of Global Health and led by me, with the collaborator and the master's student supporting defined technical tasks. By month 48, a validated answer and a first-author record will be the basis for group leadership or a professorship.</w:t>
      </w:r>
    </w:p>
    <w:bookmarkEnd w:id="75"/>
    <w:bookmarkEnd w:id="76"/>
    <w:bookmarkStart w:id="77" w:name="bibliography"/>
    <w:p>
      <w:pPr>
        <w:pStyle w:val="Heading1"/>
      </w:pPr>
      <w:r>
        <w:t xml:space="preserve">Bibliography</w:t>
      </w:r>
    </w:p>
    <w:p>
      <w:pPr>
        <w:numPr>
          <w:ilvl w:val="0"/>
          <w:numId w:val="1001"/>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01"/>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p>
      <w:pPr>
        <w:numPr>
          <w:ilvl w:val="0"/>
          <w:numId w:val="1001"/>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1"/>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1"/>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1"/>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1"/>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1"/>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p>
      <w:pPr>
        <w:numPr>
          <w:ilvl w:val="0"/>
          <w:numId w:val="1001"/>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1"/>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01"/>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1"/>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01"/>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1"/>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01"/>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1"/>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p>
      <w:pPr>
        <w:numPr>
          <w:ilvl w:val="0"/>
          <w:numId w:val="1001"/>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01"/>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p>
      <w:pPr>
        <w:numPr>
          <w:ilvl w:val="0"/>
          <w:numId w:val="1001"/>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01"/>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p>
      <w:pPr>
        <w:numPr>
          <w:ilvl w:val="0"/>
          <w:numId w:val="1001"/>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01"/>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2026-10-14T19:19:34Z</dcterms:created>
  <dcterms:modified xsi:type="dcterms:W3CDTF">2026-10-14T19:19:34Z</dcterms:modified>
</cp:coreProperties>
</file>

<file path=docProps/custom.xml><?xml version="1.0" encoding="utf-8"?>
<Properties xmlns="http://schemas.openxmlformats.org/officeDocument/2006/custom-properties" xmlns:vt="http://schemas.openxmlformats.org/officeDocument/2006/docPropsVTypes"/>
</file>