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604571"/>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604571"/>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c0434c24ca00f6b112465fd7b991c18f654948c"/>
    <w:p>
      <w:pPr>
        <w:pStyle w:val="Heading4"/>
      </w:pPr>
      <w:r>
        <w:t xml:space="preserve">WP2. Model levels of health-system pressure (M1–M28)</w:t>
      </w:r>
    </w:p>
    <w:bookmarkStart w:id="49" w:name="Xcfcc11e2b7bec828711203675136706e3bef48c"/>
    <w:p>
      <w:pPr>
        <w:pStyle w:val="Heading5"/>
      </w:pPr>
      <w:r>
        <w:t xml:space="preserve">T2.1. Specify and identify the state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11394d15ad926b825360dd8c79c1031038fa8f4"/>
    <w:p>
      <w:pPr>
        <w:pStyle w:val="Heading4"/>
      </w:pPr>
      <w:r>
        <w:t xml:space="preserve">WP3. Test forecasts using historically available information (M12–M42)</w:t>
      </w:r>
    </w:p>
    <w:bookmarkStart w:id="55" w:name="X2d4b80b8a08fe78a38b6e5d3e36fb5dbba8cd37"/>
    <w:p>
      <w:pPr>
        <w:pStyle w:val="Heading5"/>
      </w:pPr>
      <w:r>
        <w:t xml:space="preserve">T3.0. Outcomes, data gate and episode eligibility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HUG COVID-19 hospitalisation series I analysed before [35], or well-known open series.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he-second-and-third-tests-m34m42"/>
    <w:p>
      <w:pPr>
        <w:pStyle w:val="Heading5"/>
      </w:pPr>
      <w:r>
        <w:t xml:space="preserve">T3.5. The second and third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Xf4a9556a51514f6c6cfe18f6354d6daf4608cf0"/>
    <w:p>
      <w:pPr>
        <w:pStyle w:val="Heading5"/>
      </w:pPr>
      <w:r>
        <w:t xml:space="preserve">T4.1. Elicit operational losses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16b5f8351c46bb58f27b79671226450e9e24e9d"/>
    <w:p>
      <w:pPr>
        <w:pStyle w:val="Heading5"/>
      </w:pPr>
      <w:r>
        <w:t xml:space="preserve">T4.2. Decision-analytic evaluation and fairness audit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X992db0c14190232cd3dadd2da3dc249adeca167"/>
    <w:p>
      <w:pPr>
        <w:pStyle w:val="Heading5"/>
      </w:pPr>
      <w:r>
        <w:t xml:space="preserve">T4.3. Observation-mode dashboard and living updating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jc w:val="left"/>
            </w:pPr>
            <w:r>
              <w:t xml:space="preserve">Prof. Olivia Keiser, PI of the legionellosis study</w:t>
            </w:r>
          </w:p>
        </w:tc>
        <w:tc>
          <w:tcPr/>
          <w:p>
            <w:pPr>
              <w:pStyle w:val="Compact"/>
              <w:jc w:val="left"/>
            </w:pPr>
            <w:r>
              <w:t xml:space="preserve">Legionellosis linked data, analysis by the applicant</w:t>
            </w:r>
          </w:p>
        </w:tc>
        <w:tc>
          <w:tcPr/>
          <w:p>
            <w:pPr>
              <w:pStyle w:val="Compact"/>
              <w:jc w:val="left"/>
            </w:pPr>
            <w:r>
              <w:t xml:space="preserve">Study approved,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3801400"/>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3801400"/>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complete, local outcome target selected and data harmonised, or access fallback activated</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2026-10-15T05:05:01Z</dcterms:created>
  <dcterms:modified xsi:type="dcterms:W3CDTF">2026-10-15T05:05:01Z</dcterms:modified>
</cp:coreProperties>
</file>

<file path=docProps/custom.xml><?xml version="1.0" encoding="utf-8"?>
<Properties xmlns="http://schemas.openxmlformats.org/officeDocument/2006/custom-properties" xmlns:vt="http://schemas.openxmlformats.org/officeDocument/2006/docPropsVTypes"/>
</file>