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none: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for epidemiological crises) through an automated engine that checks each model's assumptions, scores it on established metrics, and selects each arm's champion under rules fixed in advance. One contrast defines the confirmatory family: the evidence-informed against the local-only champion, tested on respiratory episodes and, only if that test passes, repeated on heat as the sequential generalisation test.</w:t>
      </w:r>
    </w:p>
    <w:p>
      <w:pPr>
        <w:pStyle w:val="BodyText"/>
      </w:pPr>
      <w:r>
        <w:t xml:space="preserve">The forecasting machinery is validated first on open Swiss series (a public benchmark), then on Geneva's operational series. Three Geneva crisis archetypes, and no more, carry the real-world tests: respiratory epidemics the confirmatory test, heatwaves the sequential generalisation,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Either way: a validated answer and an open framework. For demand-based event types whose models validate, and where authorised,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future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in time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to my knowledge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often need an interpretable escalation state (routine, elevated, strained, critical), not only tomorrow's count. Latent-state representations are established in surveillance: Poisson hidden Markov models distinguish epidemic from non-epidemic periods [Le Strat 1999; Watkins 2009]; extreme-value methods frame rare critical exceedances [Coles 2001], applied to Swiss hospital congestion [Ranjbar 2022]. Here they serve one purpose: a latent ordinal state as the</w:t>
      </w:r>
      <w:r>
        <w:t xml:space="preserve"> </w:t>
      </w:r>
      <w:r>
        <w:rPr>
          <w:bCs/>
          <w:b/>
        </w:rPr>
        <w:t xml:space="preserve">common representation for testing evidence borrowing at crisis onset</w:t>
      </w:r>
      <w:r>
        <w:t xml:space="preserve">.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decision-analytic methods evaluate predictions under explicit consequences [Vickers 2006]: a forecast is operationally useful only when its probabilistic gain changes a defensible decision. Mortality-calibrated heat thresholds need not match demand thresholds [Lung 2021]; pollution–asthma emergency associations are heterogeneous across settings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Their stated objectives do not address whether automatically synthesised external quantitative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open databases, deduplication,</w:t>
      </w:r>
      <w:r>
        <w:t xml:space="preserve"> </w:t>
      </w:r>
      <w:r>
        <w:t xml:space="preserve">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validation</w:t>
      </w:r>
      <w:r>
        <w:t xml:space="preserve"> </w:t>
      </w:r>
      <w:r>
        <w:t xml:space="preserve">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the grant adds</w:t>
      </w:r>
      <w:r>
        <w:t xml:space="preserve"> </w:t>
      </w:r>
      <w:r>
        <w:t xml:space="preserve">the science (two arms, registered rules, episode-level inference), not the plumbing, and</w:t>
      </w:r>
      <w:r>
        <w:t xml:space="preserve"> </w:t>
      </w:r>
      <w:r>
        <w:t xml:space="preserve">the validated instrument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distinctive linkage,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all else is subordinate:</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assessed by a pre-specified criterion: coverage and calibration of intervals from the corrected distribution across held-out adjudicated studies.</w:t>
      </w:r>
    </w:p>
    <w:p>
      <w:pPr>
        <w:pStyle w:val="FirstParagraph"/>
      </w:pPr>
      <w:r>
        <w:t xml:space="preserve">Omissions dominate reported extraction errors [Shankar 2026]; whether they systematically shrink dispersion is what H1 tests; if the loss is uncorrectable, the project establishes a boundary condition. The evidence target spans four object classes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variable sets and model forms) improves probabilistic forecast skill during the early phase of a crisis; the persistence and decay of the advantage as local observations accumulate are assessed secondarily.</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For the demand-based archetypes, 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no fourth operational domain is required.</w:t>
      </w:r>
      <w:r>
        <w:t xml:space="preserve"> </w:t>
      </w:r>
      <w:r>
        <w:t xml:space="preserve">For respiratory and heat, both arms score</w:t>
      </w:r>
      <w:r>
        <w:t xml:space="preserve"> </w:t>
      </w:r>
      <w:r>
        <w:rPr>
          <w:bCs/>
          <w:b/>
        </w:rPr>
        <w:t xml:space="preserve">the same quantity, built the same way</w:t>
      </w:r>
      <w:r>
        <w:t xml:space="preserve">: daily</w:t>
      </w:r>
      <w:r>
        <w:t xml:space="preserve"> </w:t>
      </w:r>
      <w:r>
        <w:t xml:space="preserve">emergency demand from the 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 Legionellosis instead forecasts case incidence</w:t>
      </w:r>
      <w:r>
        <w:t xml:space="preserve"> </w:t>
      </w:r>
      <w:r>
        <w:t xml:space="preserve">(T3.5), outside this demand comparison. If the month-12 gate activates the registered</w:t>
      </w:r>
      <w:r>
        <w:t xml:space="preserve"> </w:t>
      </w:r>
      <w:r>
        <w:t xml:space="preserve">fallback, 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or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I and a separately contracted independent extractor (§2.4) independently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 of the evidence-derived distribution</w:t>
      </w:r>
      <w:r>
        <w:t xml:space="preserve">, per parameter class on a common scale under the registered pooling model, with a pre-specified interval (under-dispersion: ratio below one); within-study uncertainty and between-study heterogeneity are propagated separately and jointly,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the transportability criteria, and the mapping from transportability score to prior widening or discounting, are fixed before the confirmatory evaluation,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(the primary channel), with ED presentations and ICU occupancy added where available; pre-specified weather, calendar and epidemic covariates; series-specific observation models sharing the state. Before real-data fitting: simulation-based identifiability and recovery, including the reduced-channel case;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for WP2–WP3 (T4.1's later elicitation refines their decision interpretation, never the confirmatory state definition):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90th to 97.5th, or sustained capacity pressure (ICU occupancy above 85%, ED boarding above its seasonal 90th percentile);</w:t>
      </w:r>
      <w:r>
        <w:t xml:space="preserve"> </w:t>
      </w:r>
      <w:r>
        <w:rPr>
          <w:bCs/>
          <w:b/>
        </w:rPr>
        <w:t xml:space="preserve">critical</w:t>
      </w:r>
      <w:r>
        <w:t xml:space="preserve"> </w:t>
      </w:r>
      <w:r>
        <w:t xml:space="preserve">above the 97.5th, or capacity saturation; the highest applicable state prevails, capacity saturation alone defining critical.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each input's native cadence with versioned re-fitting; and</w:t>
      </w:r>
      <w:r>
        <w:t xml:space="preserve"> </w:t>
      </w:r>
      <w:r>
        <w:rPr>
          <w:bCs/>
          <w:b/>
        </w:rPr>
        <w:t xml:space="preserve">assumption and validity diagnostics</w:t>
      </w:r>
      <w:r>
        <w:t xml:space="preserve"> </w:t>
      </w:r>
      <w:r>
        <w:t xml:space="preserve">on every fit (residual structure, dispersion, calibration): a model failing its checks is excluded by pre-registered rules. Release a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not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the data ecosystem I already work in;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it meets them; if not, the pre-specified fallback in the hierarchy activates and the operational claim narrows.</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every component validated before operational data arrive,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the HUG COVID-19 hospitalisation data I previously analysed [Orel 2024], re-requested as a secondary respiratory validation and calibration channel,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(WHO/ECDC situational reports) enters as a</w:t>
      </w:r>
      <w:r>
        <w:t xml:space="preserve"> </w:t>
      </w:r>
      <w:r>
        <w:rPr>
          <w:bCs/>
          <w:b/>
        </w:rPr>
        <w:t xml:space="preserve">pre-specified secondary prior variant</w:t>
      </w:r>
      <w:r>
        <w:t xml:space="preserve">, through the same extraction pipeline, outside the confirmatory contrast: H3a tests literature borrowing, not evidence fusion.</w:t>
      </w:r>
      <w:r>
        <w:t xml:space="preserve"> </w:t>
      </w:r>
      <w:r>
        <w:rPr>
          <w:bCs/>
          <w:b/>
        </w:rPr>
        <w:t xml:space="preserve">Text describing the local event is excluded from any prior</w:t>
      </w:r>
      <w:r>
        <w:t xml:space="preserve">: it is a noisy measurement of the outcome itself. Every input carries an index timestamp; revised sources enter as the</w:t>
      </w:r>
      <w:r>
        <w:t xml:space="preserve"> </w:t>
      </w:r>
      <w:r>
        <w:rPr>
          <w:bCs/>
          <w:b/>
        </w:rPr>
        <w:t xml:space="preserve">release vintage available at the origin</w:t>
      </w:r>
      <w:r>
        <w:t xml:space="preserve">, never the final revised value, observation and release times both retained; origins re-run automatically through the T2.5 layer at each input's native cadence. Forecast horizons 7, 14 and 28 days (primary horizon per archetype fixed at the second registration point by a pre-specified operational criterion, never by forecast performance or episode-specific results);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(CRPS the primary selection criterion, log score and calibration registered admissibility constraints, not ranking criteria; after T2.5 validity checks; blind to the other arm); the fixed champion then issues the outer forecast. Selection never sees the outcomes it is scored on. Identical selection machinery runs in both arms, so the primary contrast tests the full evidence-informed configuration, not a particular model family; the library is deliberately broad for selection, not hypothesis multiplication; registered secondary contrasts isolate the prior, variable-set and model-form components.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(harm from borrowing is as decision-relevant as benefit).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an</w:t>
      </w:r>
      <w:r>
        <w:t xml:space="preserve"> </w:t>
      </w:r>
      <w:r>
        <w:rPr>
          <w:bCs/>
          <w:b/>
        </w:rPr>
        <w:t xml:space="preserve">episode-level bootstrap</w:t>
      </w:r>
      <w:r>
        <w:t xml:space="preserve"> </w:t>
      </w:r>
      <w:r>
        <w:t xml:space="preserve">alongside (episodes are the resampling unit, kept intact, so within-episode temporal dependence is preserved),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it does not set the threshold.</w:t>
      </w:r>
      <w:r>
        <w:t xml:space="preserve"> </w:t>
      </w:r>
      <w:r>
        <w:rPr>
          <w:bCs/>
          <w:b/>
        </w:rPr>
        <w:t xml:space="preserve">Δ is registered at one half of this fixed value</w:t>
      </w:r>
      <w:r>
        <w:t xml:space="preserve"> </w:t>
      </w:r>
      <w:r>
        <w:t xml:space="preserve">(§2.3.1); the same simulation evaluates power for these targets and the stability of the ratio-based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 The well-specified case is defined in registered simulations whose evidence- and data-generating distributions match within a set tolerance;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can adaptive discounting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the borrowing framework transferred to forecasting case incidence at outbreak onset (low-count, case-based, on the linked case-environment series).</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forecasts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state probabilities, forecasts and validity checks refreshed automatically,</w:t>
      </w:r>
      <w:r>
        <w:t xml:space="preserve"> </w:t>
      </w:r>
      <w:r>
        <w:rPr>
          <w:bCs/>
          <w:b/>
        </w:rPr>
        <w:t xml:space="preserve">recorded, never used clinically</w:t>
      </w:r>
      <w:r>
        <w:t xml:space="preserve">. The legionellosis extension is methodological and retrospective: it need not enter the capacity decision or the dashboard.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an outcome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the collaboration.</w:t>
      </w:r>
    </w:p>
    <w:p>
      <w:pPr>
        <w:pStyle w:val="BodyText"/>
      </w:pPr>
      <w:r>
        <w:rPr>
          <w:bCs/>
          <w:b/>
        </w:rPr>
        <w:t xml:space="preserve">Existing infrastructure.</w:t>
      </w:r>
      <w:r>
        <w:t xml:space="preserve"> </w:t>
      </w:r>
      <w:r>
        <w:t xml:space="preserve">LiteRev-Evidence is a working prototype of the full evidence-to-model pipeline (§2.2.4);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1"/>
        <w:gridCol w:w="1725"/>
        <w:gridCol w:w="479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under the 2026 rules; support personnel can.</w:t>
      </w:r>
    </w:p>
    <w:tbl>
      <w:tblPr>
        <w:tblStyle w:val="Table"/>
        <w:tblW w:w="10546" w:type="dxa"/>
        <w:tblLook w:firstRow="1" w:lastRow="0" w:firstColumn="0" w:lastColumn="0" w:noHBand="0" w:noVBand="0" w:val="0020"/>
        <w:jc w:val="start"/>
        <w:tblLayout w:type="fixed"/>
      </w:tblPr>
      <w:tblGrid>
        <w:gridCol w:w="3880"/>
        <w:gridCol w:w="666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logistics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project-specific data governance and reuse</w:t>
      </w:r>
      <w:r>
        <w:t xml:space="preserve">, confirmed under the applicable institutional and regulatory framework before any analysis;</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No serial chain: WP2 falls back to weakly informative priors if WP1 finds extraction inadequate; WP3's open-data track runs regardless of access;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742607"/>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742607"/>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for validated demand-based archetypes where authorised</w:t>
            </w:r>
          </w:p>
        </w:tc>
      </w:tr>
    </w:tbl>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 Durable resources,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w:t>
      </w:r>
    </w:p>
    <w:p>
      <w:pPr>
        <w:pStyle w:val="BodyText"/>
      </w:pPr>
      <w:r>
        <w:rPr>
          <w:bCs/>
          <w:b/>
        </w:rPr>
        <w:t xml:space="preserve">Where this points operationally.</w:t>
      </w:r>
      <w:r>
        <w:t xml:space="preserve"> </w:t>
      </w:r>
      <w:r>
        <w:t xml:space="preserve">Each validated demand-based archetype leaves a registered, automatically re-validated configuration and, where authorised, a daily observation-mode dashboard in the hands of the services that would use it. Extending that nucleus into a multi-crisis surveillance platform is the explicit post-grant pathway; this project supplies the validated core and the update rules.</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nothing established whether they improved forecasting in a new setting. The methodological core came from fifteen years of quantitative finance, from no group I have worked in; the platform was developed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guarantees are documented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methodological record: the basis for group leadership or a professorship. Ambizione consolidates my research time into one programme.</w: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2026-10-07T16:12:16Z</dcterms:created>
  <dcterms:modified xsi:type="dcterms:W3CDTF">2026-10-07T16:12:16Z</dcterms:modified>
</cp:coreProperties>
</file>

<file path=docProps/custom.xml><?xml version="1.0" encoding="utf-8"?>
<Properties xmlns="http://schemas.openxmlformats.org/officeDocument/2006/custom-properties" xmlns:vt="http://schemas.openxmlformats.org/officeDocument/2006/docPropsVTypes"/>
</file>