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 prior: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where the crisis is epidemiological) through an automated engine that checks each model's assumptions, scores it on established metrics, and selects each arm's champion under rules fixed in advance. Exactly one contrast is confirmatory: the evidence-informed champion against the local-only champion, repeated once, sequentially, as the heat generalisation test.</w:t>
      </w:r>
    </w:p>
    <w:p>
      <w:pPr>
        <w:pStyle w:val="BodyText"/>
      </w:pPr>
      <w:r>
        <w:t xml:space="preserve">Every component is validated first on open surveillance and demand series (a public, re-runnable benchmark), then on Geneva's operational series. Respiratory epidemics carry the confirmatory test, heatwaves the sequential generalisation test, Geneva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in advance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but every recommended model is trained on years of local history.</w:t>
      </w:r>
    </w:p>
    <w:p>
      <w:pPr>
        <w:pStyle w:val="BodyText"/>
      </w:pPr>
      <w:r>
        <w:rPr>
          <w:bCs/>
          <w:b/>
        </w:rPr>
        <w:t xml:space="preserve">The cold-start problem is specifically a labelled-outcome problem.</w:t>
      </w:r>
      <w:r>
        <w:t xml:space="preserve"> </w:t>
      </w:r>
      <w:r>
        <w:t xml:space="preserve">At crisis onset, context variables abound but the outcome to be forecast does not, and abundance itself can mislead: Google Flu Trends overestimated influenza activity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uses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develop surveillance, forecasting and decision-support capability from local data; none has as a stated objective testing whether automatically synthesised external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modelling, extreme-value estimation,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same theme. I now</w:t>
      </w:r>
      <w:r>
        <w:t xml:space="preserve"> </w:t>
      </w:r>
      <w:r>
        <w:rPr>
          <w:bCs/>
          <w:b/>
        </w:rPr>
        <w:t xml:space="preserve">senior-author</w:t>
      </w:r>
      <w:r>
        <w:t xml:space="preserve"> </w:t>
      </w:r>
      <w:r>
        <w:t xml:space="preserve">that line (last author, [Ng'ambi 2026], accepted: machine-learning classification of</w:t>
      </w:r>
      <w:r>
        <w:t xml:space="preserve"> </w:t>
      </w:r>
      <w:r>
        <w:t xml:space="preserve">cardiovascular disease history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used it in its published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it is applied: the evidence-to-model loop this proposal interrogates, in prototype</w:t>
      </w:r>
      <w:r>
        <w:t xml:space="preserve"> </w:t>
      </w:r>
      <w:r>
        <w:t xml:space="preserve">form.</w:t>
      </w:r>
    </w:p>
    <w:p>
      <w:pPr>
        <w:pStyle w:val="BodyText"/>
      </w:pPr>
      <w:r>
        <w:t xml:space="preserve">For GESICA I built the Geneva–Vaud–Neuchâtel data foundation:</w:t>
      </w:r>
      <w:r>
        <w:t xml:space="preserve"> </w:t>
      </w:r>
      <w:r>
        <w:rPr>
          <w:bCs/>
          <w:b/>
        </w:rPr>
        <w:t xml:space="preserve">77 notifiable diseases in</w:t>
      </w:r>
      <w:r>
        <w:rPr>
          <w:bCs/>
          <w:b/>
        </w:rPr>
        <w:t xml:space="preserve"> </w:t>
      </w:r>
      <w:r>
        <w:rPr>
          <w:bCs/>
          <w:b/>
        </w:rPr>
        <w:t xml:space="preserve">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It is why validation domains are chosen by</w:t>
      </w:r>
      <w:r>
        <w:t xml:space="preserve"> </w:t>
      </w:r>
      <w:r>
        <w:rPr>
          <w:bCs/>
          <w:b/>
        </w:rPr>
        <w:t xml:space="preserve">model class</w:t>
      </w:r>
      <w:r>
        <w:t xml:space="preserve">, and why the proposal</w:t>
      </w:r>
      <w:r>
        <w:t xml:space="preserve"> </w:t>
      </w:r>
      <w:r>
        <w:t xml:space="preserve">rests on a mapped, not assumed, data landscape.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so the grant</w:t>
      </w:r>
      <w:r>
        <w:t xml:space="preserve"> </w:t>
      </w:r>
      <w:r>
        <w:t xml:space="preserve">adds the science (the two arms, the registered rules, episode-level inference), not the</w:t>
      </w:r>
      <w:r>
        <w:t xml:space="preserve"> </w:t>
      </w:r>
      <w:r>
        <w:t xml:space="preserve">plumbing; the validated instrument it becomes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drawing>
          <wp:inline>
            <wp:extent cx="6640000" cy="2727142"/>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727142"/>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p>
      <w:pPr>
        <w:pStyle w:val="BodyText"/>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everything else is subordinate to it:</w:t>
      </w:r>
    </w:p>
    <w:tbl>
      <w:tblPr>
        <w:tblStyle w:val="Table"/>
        <w:tblW w:w="10466" w:type="dxa"/>
        <w:tblLook w:firstRow="1" w:lastRow="0" w:firstColumn="0" w:lastColumn="0" w:noHBand="0" w:noVBand="0" w:val="0020"/>
        <w:jc w:val="start"/>
        <w:tblLayout w:type="fixed"/>
      </w:tblPr>
      <w:tblGrid>
        <w:gridCol w:w="1560"/>
        <w:gridCol w:w="2541"/>
        <w:gridCol w:w="636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extraction errors [Shankar 2026] and shrink dispersion systematically; if uncorrectable, the project establishes a boundary condition. The evidence target spans four object classes (parameter values; predictor variables and lags; model forms; outcome and threshold definitions: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critical-slowing-down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justified against the evidence-informed versus local-only effect the study is powered to detect.</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(library, validity checks, selection rule: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These are downstream tests of value; observation mode is an extension, not a prerequisite.</w:t>
      </w:r>
    </w:p>
    <w:bookmarkEnd w:id="40"/>
    <w:bookmarkStart w:id="41"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(GESICA classification). Both arms</w:t>
      </w:r>
      <w:r>
        <w:t xml:space="preserve"> </w:t>
      </w:r>
      <w:r>
        <w:t xml:space="preserve">score</w:t>
      </w:r>
      <w:r>
        <w:t xml:space="preserve"> </w:t>
      </w:r>
      <w:r>
        <w:rPr>
          <w:bCs/>
          <w:b/>
        </w:rPr>
        <w:t xml:space="preserve">the same quantity, built the same way</w:t>
      </w:r>
      <w:r>
        <w:t xml:space="preserve">: daily emergency demand from the CASU-144</w:t>
      </w:r>
      <w:r>
        <w:t xml:space="preserve"> </w:t>
      </w:r>
      <w:r>
        <w:t xml:space="preserve">series, restricted to the cause classes the archetype's evidence base concerns (T3.0):</w:t>
      </w:r>
      <w:r>
        <w:t xml:space="preserve"> </w:t>
      </w:r>
      <w:r>
        <w:t xml:space="preserve">respiratory-related demand for epidemics;</w:t>
      </w:r>
      <w:r>
        <w:t xml:space="preserve"> </w:t>
      </w:r>
      <w:r>
        <w:rPr>
          <w:bCs/>
          <w:b/>
        </w:rPr>
        <w:t xml:space="preserve">heat-sensitive demand</w:t>
      </w:r>
      <w:r>
        <w:t xml:space="preserve"> </w:t>
      </w:r>
      <w:r>
        <w:t xml:space="preserve">for heat, since Swiss</w:t>
      </w:r>
      <w:r>
        <w:t xml:space="preserve"> </w:t>
      </w:r>
      <w:r>
        <w:t xml:space="preserve">evidence places heat effects in dehydration, renal and psychiatric admissions, with a weak</w:t>
      </w:r>
      <w:r>
        <w:t xml:space="preserve"> </w:t>
      </w:r>
      <w:r>
        <w:t xml:space="preserve">respiratory effect at older ages [Schulte 2024; Ragettli 2019].</w:t>
      </w:r>
    </w:p>
    <w:tbl>
      <w:tblPr>
        <w:tblStyle w:val="Table"/>
        <w:tblW w:w="10466" w:type="dxa"/>
        <w:tblLook w:firstRow="1" w:lastRow="0" w:firstColumn="0" w:lastColumn="0" w:noHBand="0" w:noVBand="0" w:val="0020"/>
        <w:jc w:val="start"/>
        <w:tblLayout w:type="fixed"/>
      </w:tblPr>
      <w:tblGrid>
        <w:gridCol w:w="1723"/>
        <w:gridCol w:w="2037"/>
        <w:gridCol w:w="2678"/>
        <w:gridCol w:w="4028"/>
      </w:tblGrid>
      <w:tr>
        <w:trPr>
          <w:tblHeader w:val="true"/>
        </w:trPr>
        <w:tc>
          <w:tcPr/>
          <w:p>
            <w:pPr>
              <w:pStyle w:val="Compact"/>
              <w:jc w:val="left"/>
            </w:pPr>
            <w:r>
              <w:t xml:space="preserve">Archetype</w:t>
            </w:r>
          </w:p>
        </w:tc>
        <w:tc>
          <w:tcPr/>
          <w:p>
            <w:pPr>
              <w:pStyle w:val="Compact"/>
              <w:jc w:val="left"/>
            </w:pPr>
            <w:r>
              <w:t xml:space="preserve">Role</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w:t>
            </w:r>
          </w:p>
        </w:tc>
        <w:tc>
          <w:tcPr/>
          <w:p>
            <w:pPr>
              <w:pStyle w:val="Compact"/>
              <w:jc w:val="left"/>
            </w:pPr>
            <w:r>
              <w:t xml:space="preserve">Transmissible, multi-wave, seasonal</w:t>
            </w:r>
          </w:p>
        </w:tc>
        <w:tc>
          <w:tcPr/>
          <w:p>
            <w:pPr>
              <w:pStyle w:val="Compact"/>
              <w:jc w:val="left"/>
            </w:pPr>
            <w:r>
              <w:t xml:space="preserve">Respiratory-related demand; COVID-19, influenza, RSV</w:t>
            </w:r>
          </w:p>
        </w:tc>
      </w:tr>
      <w:tr>
        <w:tc>
          <w:tcPr/>
          <w:p>
            <w:pPr>
              <w:pStyle w:val="Compact"/>
              <w:jc w:val="left"/>
            </w:pPr>
            <w:r>
              <w:rPr>
                <w:bCs/>
                <w:b/>
              </w:rPr>
              <w:t xml:space="preserve">Heatwave</w:t>
            </w:r>
          </w:p>
        </w:tc>
        <w:tc>
          <w:tcPr/>
          <w:p>
            <w:pPr>
              <w:pStyle w:val="Compact"/>
              <w:jc w:val="left"/>
            </w:pPr>
            <w:r>
              <w:t xml:space="preserve">Sequential generalisation</w:t>
            </w:r>
          </w:p>
        </w:tc>
        <w:tc>
          <w:tcPr/>
          <w:p>
            <w:pPr>
              <w:pStyle w:val="Compact"/>
              <w:jc w:val="left"/>
            </w:pPr>
            <w:r>
              <w:t xml:space="preserve">Environmental, short, sharply peaked</w:t>
            </w:r>
          </w:p>
        </w:tc>
        <w:tc>
          <w:tcPr/>
          <w:p>
            <w:pPr>
              <w:pStyle w:val="Compact"/>
              <w:jc w:val="left"/>
            </w:pPr>
            <w:r>
              <w:t xml:space="preserve">Heat-sensitive demand, same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environmental</w:t>
            </w:r>
          </w:p>
        </w:tc>
        <w:tc>
          <w:tcPr/>
          <w:p>
            <w:pPr>
              <w:pStyle w:val="Compact"/>
              <w:jc w:val="left"/>
            </w:pPr>
            <w:r>
              <w:t xml:space="preserve">Geneva legionellosis linked to installations</w:t>
            </w:r>
          </w:p>
        </w:tc>
      </w:tr>
    </w:tbl>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clinically steering alarm system by month 48: the dashboard runs strictly in observation mode.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T3.3's library.</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recovery of states and transitions,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prior–data conflict recorded explicitly.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every model re-estimated at its inputs' native cadence (daily demand, weekly surveillance),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never silently retained. Release a documented reference implementation integrated with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in response to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 the hierarchy governs only which series H3a is scored on.</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extension to Vaud and Neuchâtel via the CHUV-operated 144 is a pre-specified external validation if access is granted.</w:t>
      </w:r>
    </w:p>
    <w:p>
      <w:pPr>
        <w:pStyle w:val="BodyText"/>
      </w:pPr>
      <w:r>
        <w:rPr>
          <w:bCs/>
          <w:b/>
        </w:rPr>
        <w:t xml:space="preserve">Data-access gate.</w:t>
      </w:r>
      <w:r>
        <w:t xml:space="preserve"> </w:t>
      </w:r>
      <w:r>
        <w:t xml:space="preserve">Criteria for</w:t>
      </w:r>
      <w:r>
        <w:t xml:space="preserve"> </w:t>
      </w:r>
      <w:r>
        <w:rPr>
          <w:bCs/>
          <w:b/>
        </w:rPr>
        <w:t xml:space="preserve">historical depth, resolution, latency and completeness</w:t>
      </w:r>
      <w:r>
        <w:t xml:space="preserve"> </w:t>
      </w:r>
      <w:r>
        <w:t xml:space="preserve">are fixed in advance; the primary outcome is selected at a pre-specified checkpoint (month 12) on those criteria alone.</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r>
        <w:t xml:space="preserve"> </w:t>
      </w:r>
      <w:r>
        <w:t xml:space="preserve">(concurrent influenza and RSV is one surge).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 analyses).</w:t>
      </w:r>
      <w:r>
        <w:t xml:space="preserve"> </w:t>
      </w:r>
      <w:r>
        <w:t xml:space="preserve">Before any clinical series connects, the complete rolling-origin machinery runs on open series: Swiss federal respiratory surveillance and wastewater, weekly all-cause deaths for the heat arm, and France's openly published daily emergency-activity indicators (OSCOUR ED attendances, SOS Médecins consultations), matching GESICA's Franco-Swiss frame. Archived multi-model hub forecasts provide contemporaneous external comparators for early, genuinely cold-start rounds [Cramer 2022; Sherratt 2023]. The track ships as a</w:t>
      </w:r>
      <w:r>
        <w:t xml:space="preserve"> </w:t>
      </w:r>
      <w:r>
        <w:rPr>
          <w:bCs/>
          <w:b/>
        </w:rPr>
        <w:t xml:space="preserve">public, re-runnable benchmark</w:t>
      </w:r>
      <w:r>
        <w:t xml:space="preserve">, validates every component before operational data arrive, and makes the central test robust to access outcomes; operational series then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and ECDC situational reports) enters as a</w:t>
      </w:r>
      <w:r>
        <w:t xml:space="preserve"> </w:t>
      </w:r>
      <w:r>
        <w:rPr>
          <w:bCs/>
          <w:b/>
        </w:rPr>
        <w:t xml:space="preserve">pre-specified secondary prior variant</w:t>
      </w:r>
      <w:r>
        <w:t xml:space="preserve">, through the same extraction and error pipeline, outside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itself. Every input carries an index timestamp;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operational implementations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w:t>
      </w:r>
      <w:r>
        <w:t xml:space="preserve"> </w:t>
      </w:r>
      <w:r>
        <w:t xml:space="preserve">At each origin every admissible candidate runs automatically, passes the T2.5 assumption and validity checks, and is scored on pre-specified metrics (CRPS, log score, calibration); each arm's</w:t>
      </w:r>
      <w:r>
        <w:t xml:space="preserve"> </w:t>
      </w:r>
      <w:r>
        <w:rPr>
          <w:bCs/>
          <w:b/>
        </w:rPr>
        <w:t xml:space="preserve">champion</w:t>
      </w:r>
      <w:r>
        <w:t xml:space="preserve"> </w:t>
      </w:r>
      <w:r>
        <w:t xml:space="preserve">is selected by a registered rule, blind to the other arm. Identical machinery in both arms means the contrast isolates the evidence, not the selector; which family wins, where and when, is itself a result.</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(between library members, between borrowing strategies)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 tuned into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The unit of inference is the</w:t>
      </w:r>
      <w:r>
        <w:t xml:space="preserve"> </w:t>
      </w:r>
      <w:r>
        <w:rPr>
          <w:bCs/>
          <w:b/>
        </w:rPr>
        <w:t xml:space="preserve">episode</w:t>
      </w:r>
      <w:r>
        <w:t xml:space="preserve"> </w:t>
      </w:r>
      <w:r>
        <w:t xml:space="preserve">(origins are repeated measures within it);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and heterogeneity),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grid value meeting the operating-characteristic criterion, Δ set by a pre-declared rule on the simulated effect distribution, both chosen by algorithms blind to forecast performance.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not required for the central conclusion).</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it does not stall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event types whose models pass T3.3 validation and T4.2's decision-value check, and subject to authorisation, the framework then runs as a</w:t>
      </w:r>
      <w:r>
        <w:t xml:space="preserve"> </w:t>
      </w:r>
      <w:r>
        <w:rPr>
          <w:bCs/>
          <w:b/>
        </w:rPr>
        <w:t xml:space="preserve">daily observation-mode dashboard</w:t>
      </w:r>
      <w:r>
        <w:t xml:space="preserve"> </w:t>
      </w:r>
      <w:r>
        <w:t xml:space="preserve">with the partner services (CASU-144 regulation, HUG emergency department,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proposed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a new CCER approval with me as applicant;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collaboration with</w:t>
      </w:r>
      <w:r>
        <w:t xml:space="preserve"> </w:t>
      </w:r>
      <w:r>
        <w:rPr>
          <w:bCs/>
          <w:b/>
        </w:rPr>
        <w:t xml:space="preserve">HUG emergency medicine</w:t>
      </w:r>
      <w:r>
        <w:t xml:space="preserve"> </w:t>
      </w:r>
      <w:r>
        <w:t xml:space="preserve">(Prof. Thibaut Desmettre; Dr Robert Larribau, médecin responsable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typed outcome templates, multi-family model fitting with automated tuning,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(Baobab/Yggdrasil) and the University's secure environment for clinical data.</w:t>
      </w:r>
    </w:p>
    <w:p>
      <w:pPr>
        <w:pStyle w:val="BodyText"/>
      </w:pPr>
      <w:r>
        <w:rPr>
          <w:bCs/>
          <w:b/>
        </w:rPr>
        <w:t xml:space="preserve">Commitments, by status.</w:t>
      </w:r>
    </w:p>
    <w:tbl>
      <w:tblPr>
        <w:tblStyle w:val="Table"/>
        <w:tblW w:w="10466" w:type="dxa"/>
        <w:tblLook w:firstRow="1" w:lastRow="0" w:firstColumn="0" w:lastColumn="0" w:noHBand="0" w:noVBand="0" w:val="0020"/>
        <w:jc w:val="start"/>
        <w:tblLayout w:type="fixed"/>
      </w:tblPr>
      <w:tblGrid>
        <w:gridCol w:w="3075"/>
        <w:gridCol w:w="1560"/>
        <w:gridCol w:w="5831"/>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requested; continuous, daily, near real-time; archive depth to confirm;</w:t>
            </w:r>
            <w:r>
              <w:t xml:space="preserve"> </w:t>
            </w:r>
            <w:r>
              <w:rPr>
                <w:bCs/>
                <w:b/>
              </w:rPr>
              <w:t xml:space="preserve">HUG access established within GESICA</w:t>
            </w:r>
            <w:r>
              <w:t xml:space="preserve">; own agreement + CCER required</w:t>
            </w:r>
          </w:p>
        </w:tc>
      </w:tr>
      <w:tr>
        <w:tc>
          <w:tcPr/>
          <w:p>
            <w:pPr>
              <w:pStyle w:val="Compact"/>
              <w:jc w:val="left"/>
            </w:pPr>
            <w:r>
              <w:t xml:space="preserve">ED presentations + ICU occupancy, additional channels</w:t>
            </w:r>
          </w:p>
        </w:tc>
        <w:tc>
          <w:tcPr/>
          <w:p>
            <w:pPr>
              <w:pStyle w:val="Compact"/>
              <w:jc w:val="left"/>
            </w:pPr>
            <w:r>
              <w:t xml:space="preserve">Requested</w:t>
            </w:r>
          </w:p>
        </w:tc>
        <w:tc>
          <w:tcPr/>
          <w:p>
            <w:pPr>
              <w:pStyle w:val="Compact"/>
              <w:jc w:val="left"/>
            </w:pPr>
            <w:r>
              <w:t xml:space="preserve">Letters requested; daily depth to confirm; ICU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key remaining feasibility items.</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466" w:type="dxa"/>
        <w:tblLook w:firstRow="1" w:lastRow="0" w:firstColumn="0" w:lastColumn="0" w:noHBand="0" w:noVBand="0" w:val="0020"/>
        <w:jc w:val="start"/>
        <w:tblLayout w:type="fixed"/>
      </w:tblPr>
      <w:tblGrid>
        <w:gridCol w:w="4338"/>
        <w:gridCol w:w="6128"/>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Results presentation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the grant starts.</w:t>
      </w:r>
      <w:r>
        <w:t xml:space="preserve"> </w:t>
      </w:r>
      <w:r>
        <w:t xml:space="preserve">Advanced before month 1, outside grant funding:</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prototype already exists</w:t>
      </w:r>
      <w:r>
        <w:t xml:space="preserve">) and on the fallbacks, each leaving the central question answerable with the narrowing stated.</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three fully specified tasks:</w:t>
      </w:r>
      <w:r>
        <w:t xml:space="preserve"> </w:t>
      </w:r>
      <w:r>
        <w:t xml:space="preserve">T1.2's second independent extractor, the T3.1–T3.2 harmonisation and automated rolling-origin pipeline,</w:t>
      </w:r>
      <w:r>
        <w:t xml:space="preserve"> </w:t>
      </w:r>
      <w:r>
        <w:t xml:space="preserve">and the reproducibility engineering behind D1.1 and D3.1. No other personnel are requested.</w:t>
      </w:r>
    </w:p>
    <w:p>
      <w:pPr>
        <w:pStyle w:val="BodyText"/>
      </w:pPr>
      <w:r>
        <w:t xml:space="preserve">The design avoids a serial chain: WP2 falls back to weakly informative priors if WP1 finds extraction inadequate, WP3's open-data track runs regardless of operational access, and WP4's decision analysis is retrospective.</w:t>
      </w:r>
      <w:r>
        <w:t xml:space="preserve"> </w:t>
      </w:r>
      <w:r>
        <w:rPr>
          <w:bCs/>
          <w:b/>
        </w:rPr>
        <w:t xml:space="preserve">What falling back to open data alone costs:</w:t>
      </w:r>
      <w:r>
        <w:t xml:space="preserve"> </w:t>
      </w:r>
      <w:r>
        <w:t xml:space="preserve">open series are not emergency-system demand, so the outcome claim narrows and most of WP4 turns illustrative; hence the agreements are a pre-award action.</w:t>
      </w:r>
    </w:p>
    <w:tbl>
      <w:tblPr>
        <w:tblStyle w:val="Table"/>
        <w:tblW w:w="10466" w:type="dxa"/>
        <w:tblLook w:firstRow="1" w:lastRow="0" w:firstColumn="0" w:lastColumn="0" w:noHBand="0" w:noVBand="0" w:val="0020"/>
        <w:jc w:val="start"/>
        <w:tblLayout w:type="fixed"/>
      </w:tblPr>
      <w:tblGrid>
        <w:gridCol w:w="1560"/>
        <w:gridCol w:w="1560"/>
        <w:gridCol w:w="734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validation; observation-mode dashboard running where authorised</w:t>
            </w:r>
          </w:p>
        </w:tc>
      </w:tr>
    </w:tbl>
    <w:p>
      <w:pPr>
        <w:pStyle w:val="BodyText"/>
      </w:pPr>
      <w:r>
        <w:drawing>
          <wp:inline>
            <wp:extent cx="6640000" cy="31410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31410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t xml:space="preserve">The result is useful either way: a principled, auditable way to borrow if evidence helps; a stated boundary if not.</w:t>
      </w:r>
    </w:p>
    <w:p>
      <w:pPr>
        <w:pStyle w:val="BodyText"/>
      </w:pPr>
      <w:r>
        <w:rPr>
          <w:bCs/>
          <w:b/>
        </w:rPr>
        <w:t xml:space="preserve">A null result changes identifiable practice.</w:t>
      </w:r>
      <w:r>
        <w:t xml:space="preserve"> </w:t>
      </w:r>
      <w:r>
        <w:t xml:space="preserve">Modellers routinely seed early-crisis models with parameters lifted from a few studies, and evidence-synthesis platforms (including my own) assume pooled estimates are reusable as priors; a calibrated null tells those groups the practice buys nothing where it is most used.</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w:t>
      </w:r>
    </w:p>
    <w:p>
      <w:pPr>
        <w:pStyle w:val="BodyText"/>
      </w:pPr>
      <w:r>
        <w:t xml:space="preserve">Durable resources remain,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 on open series</w:t>
      </w:r>
      <w:r>
        <w:t xml:space="preserve">, an</w:t>
      </w:r>
      <w:r>
        <w:t xml:space="preserve"> </w:t>
      </w:r>
      <w:r>
        <w:rPr>
          <w:bCs/>
          <w:b/>
        </w:rPr>
        <w:t xml:space="preserve">open reference framework</w:t>
      </w:r>
      <w:r>
        <w:t xml:space="preserve"> </w:t>
      </w:r>
      <w:r>
        <w:t xml:space="preserve">for evidence-informed latent-state forecasting, 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contrasting domains show what transfers.</w:t>
      </w:r>
    </w:p>
    <w:p>
      <w:pPr>
        <w:pStyle w:val="BodyText"/>
      </w:pPr>
      <w:r>
        <w:rPr>
          <w:bCs/>
          <w:b/>
        </w:rPr>
        <w:t xml:space="preserve">Where this points operationally.</w:t>
      </w:r>
      <w:r>
        <w:t xml:space="preserve"> </w:t>
      </w:r>
      <w:r>
        <w:t xml:space="preserve">Each validated event type leaves a registered, automatically re-validated forecasting configuration and a daily observation-mode dashboard in the hands of the services that would use it. Extending that nucleus into a multi-crisis surveillance platform for clinicians and regulators, event type by event type as models validate, is the explicit post-grant pathway; this project supplies the validated core and update rules that make it trustworthy.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have not had is a research agenda that is mine to set. None of the programmes below has this project's objective.</w:t>
      </w:r>
    </w:p>
    <w:tbl>
      <w:tblPr>
        <w:tblStyle w:val="Table"/>
        <w:tblW w:w="10466" w:type="dxa"/>
        <w:tblLook w:firstRow="1" w:lastRow="0" w:firstColumn="0" w:lastColumn="0" w:noHBand="0" w:noVBand="0" w:val="0020"/>
        <w:jc w:val="start"/>
        <w:tblLayout w:type="fixed"/>
      </w:tblPr>
      <w:tblGrid>
        <w:gridCol w:w="2112"/>
        <w:gridCol w:w="3589"/>
        <w:gridCol w:w="1560"/>
        <w:gridCol w:w="3205"/>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evidence's inferential value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evidence-informed forecasting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but nothing established whether those priors improved forecasting in a new setting. The methodological core came from fifteen years of quantitative finance, from no group I have worked in; the platform is UNIGE intellectual property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doctoral and post-doctoral output (the expected profile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programme alongside the Institute's groups rather than inside one; the PI's independence guarantees are documented in the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open resources the field can build on, and a first-author methodological record in my own name: the basis for a group-leadership position or professorship. My research time is currently divided across four collaborative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of more than 50 authors;</w:t>
      </w:r>
      <w:r>
        <w:t xml:space="preserve"> </w:t>
      </w:r>
      <w:r>
        <w:t xml:space="preserve">shortening permitted by the guidelines).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of more than 50 authors;</w:t>
      </w:r>
      <w:r>
        <w:t xml:space="preserve"> </w:t>
      </w:r>
      <w:r>
        <w:t xml:space="preserve">shortening permitted by the guidelines).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Difference</w:t>
      </w:r>
      <w:r>
        <w:t xml:space="preserve"> </w:t>
      </w:r>
      <w:r>
        <w:t xml:space="preserve">in clinical severity between Delta variant and Omicron sub-lineages in a Swiss tertiary</w:t>
      </w:r>
      <w:r>
        <w:t xml:space="preserve"> </w:t>
      </w:r>
      <w:r>
        <w:t xml:space="preserve">center.</w:t>
      </w:r>
      <w:r>
        <w:t xml:space="preserve"> </w:t>
      </w:r>
      <w:r>
        <w:rPr>
          <w:iCs/>
          <w:i/>
        </w:rPr>
        <w:t xml:space="preserve">CMI Communications</w:t>
      </w:r>
      <w:r>
        <w:t xml:space="preserve"> </w:t>
      </w:r>
      <w:r>
        <w:t xml:space="preserve">2024.</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650" w:right="720" w:bottom="650" w:left="72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2026-10-07T13:18:50Z</dcterms:created>
  <dcterms:modified xsi:type="dcterms:W3CDTF">2026-10-07T13:18:50Z</dcterms:modified>
</cp:coreProperties>
</file>

<file path=docProps/custom.xml><?xml version="1.0" encoding="utf-8"?>
<Properties xmlns="http://schemas.openxmlformats.org/officeDocument/2006/custom-properties" xmlns:vt="http://schemas.openxmlformats.org/officeDocument/2006/docPropsVTypes"/>
</file>