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bba89c5b267f26b7684fc00dfd2a6d633bfbe87"/>
    <w:p>
      <w:pPr>
        <w:pStyle w:val="Heading1"/>
      </w:pPr>
      <w:r>
        <w:t xml:space="preserve">Budget for mySNF (Ambizione 2026), working version of 20 October 2026</w:t>
      </w:r>
    </w:p>
    <w:p>
      <w:pPr>
        <w:pStyle w:val="FirstParagraph"/>
      </w:pPr>
      <w:r>
        <w:t xml:space="preserve">Two things are entered in mySNF. The applicant’s salary, which the grant pays separately, and the</w:t>
      </w:r>
      <w:r>
        <w:t xml:space="preserve"> </w:t>
      </w:r>
      <w:r>
        <w:t xml:space="preserve">project funds, capped at CHF 250,000 over four years including social charges. The budget is</w:t>
      </w:r>
      <w:r>
        <w:t xml:space="preserve"> </w:t>
      </w:r>
      <w:r>
        <w:t xml:space="preserve">line by line and frozen at submission. Each category has a</w:t>
      </w:r>
      <w:r>
        <w:t xml:space="preserve"> </w:t>
      </w:r>
      <w:r>
        <w:t xml:space="preserve">“</w:t>
      </w:r>
      <w:r>
        <w:t xml:space="preserve">remarques</w:t>
      </w:r>
      <w:r>
        <w:t xml:space="preserve">”</w:t>
      </w:r>
      <w:r>
        <w:t xml:space="preserve"> </w:t>
      </w:r>
      <w:r>
        <w:t xml:space="preserve">box, and the RGO advises</w:t>
      </w:r>
      <w:r>
        <w:t xml:space="preserve"> </w:t>
      </w:r>
      <w:r>
        <w:t xml:space="preserve">to justify every amount there and to point to the plan sections (2.3.3 workplan, 2.4 resources,</w:t>
      </w:r>
      <w:r>
        <w:t xml:space="preserve"> </w:t>
      </w:r>
      <w:r>
        <w:t xml:space="preserve">2.5 schedule). Open-access publication costs are not eligible here (separate mechanism).</w:t>
      </w:r>
    </w:p>
    <w:p>
      <w:pPr>
        <w:pStyle w:val="BodyText"/>
      </w:pPr>
      <w:r>
        <w:t xml:space="preserve">Figures marked (assumed) are planning assumptions to be confirmed by the applicant or the RGO.</w:t>
      </w:r>
      <w:r>
        <w:t xml:space="preserve"> </w:t>
      </w:r>
      <w:r>
        <w:t xml:space="preserve">Social charges are 23% in Geneva and mySNF adds them automatically. They are shown here so that</w:t>
      </w:r>
      <w:r>
        <w:t xml:space="preserve"> </w:t>
      </w:r>
      <w:r>
        <w:t xml:space="preserve">the total can be checked against the cap.</w:t>
      </w:r>
    </w:p>
    <w:bookmarkStart w:id="23" w:name="applicant-salary"/>
    <w:p>
      <w:pPr>
        <w:pStyle w:val="Heading2"/>
      </w:pPr>
      <w:r>
        <w:t xml:space="preserve">1. Applicant salary</w:t>
      </w:r>
    </w:p>
    <w:bookmarkStart w:id="20" w:name="what-is-known"/>
    <w:p>
      <w:pPr>
        <w:pStyle w:val="Heading3"/>
      </w:pPr>
      <w:r>
        <w:t xml:space="preserve">What is known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function adjoint scientifique, class 19, annuity 9 in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Annuities suspended in 2026 (no annuity paid, no indexation)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du personnel de l’Etat, conditions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Conseil d’Etat decided on 17 Sept 2026 to grant the annuity in 2027, without indexation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on the 2027 draft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2026 budget was never adopted (twelfths regime). The 2027 budget still has to pass the Grand Conseil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Ambizione grantees at UNIGE are collaborateur/trice scientifique II, class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RGO, 13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19 scale 2026, from the RGO table. 19/12 CHF 131,330, 19/13 132,379, 19/14 133,428, 19/15 134,477, one annuity = CHF 1,049 at this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RGO, 13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19 in 2019 ran from CHF 101,376 (annuity 0) to 137,068 (annuity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Conseil written answer, 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RGO’s own estimate for year 1 was 19/12 (her text also mentions 19/11 for 2027-2028)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RGO, 13 Oct</w:t>
            </w:r>
          </w:p>
        </w:tc>
      </w:tr>
    </w:tbl>
    <w:bookmarkEnd w:id="20"/>
    <w:bookmarkStart w:id="21" w:name="X973cb2c88cc5eb2b444ab8260780c344da616d3"/>
    <w:p>
      <w:pPr>
        <w:pStyle w:val="Heading3"/>
      </w:pPr>
      <w:r>
        <w:t xml:space="preserve">Reasoning on the annuity at the start, September 2027</w:t>
      </w:r>
    </w:p>
    <w:p>
      <w:pPr>
        <w:numPr>
          <w:ilvl w:val="0"/>
          <w:numId w:val="1001"/>
        </w:numPr>
        <w:pStyle w:val="Compact"/>
      </w:pPr>
      <w:r>
        <w:t xml:space="preserve">If the 2027 budget passes with the annuity, the applicant moves from 19/9 to 19/10 on</w:t>
      </w:r>
      <w:r>
        <w:t xml:space="preserve"> </w:t>
      </w:r>
      <w:r>
        <w:t xml:space="preserve">1 January 2027 and is at 19/10 when the grant starts. If the budget fails again and the</w:t>
      </w:r>
      <w:r>
        <w:t xml:space="preserve"> </w:t>
      </w:r>
      <w:r>
        <w:t xml:space="preserve">State runs on twelfths, no annuity is paid and he stays at 19/9.</w:t>
      </w:r>
    </w:p>
    <w:p>
      <w:pPr>
        <w:numPr>
          <w:ilvl w:val="0"/>
          <w:numId w:val="1001"/>
        </w:numPr>
        <w:pStyle w:val="Compact"/>
      </w:pPr>
      <w:r>
        <w:t xml:space="preserve">The change of function to collaborateur scientifique II is within class 19. Geneva staff</w:t>
      </w:r>
      <w:r>
        <w:t xml:space="preserve"> </w:t>
      </w:r>
      <w:r>
        <w:t xml:space="preserve">rules protect the acquired salary on a change of function inside the State and the</w:t>
      </w:r>
      <w:r>
        <w:t xml:space="preserve"> </w:t>
      </w:r>
      <w:r>
        <w:t xml:space="preserve">University, so the entry annuity cannot be below the current one. 19/9 or 19/10 is the floor.</w:t>
      </w:r>
    </w:p>
    <w:p>
      <w:pPr>
        <w:numPr>
          <w:ilvl w:val="0"/>
          <w:numId w:val="1001"/>
        </w:numPr>
        <w:pStyle w:val="Compact"/>
      </w:pPr>
      <w:r>
        <w:t xml:space="preserve">At appointment, UNIGE sets the annuity from the experience it recognises. For scientific</w:t>
      </w:r>
      <w:r>
        <w:t xml:space="preserve"> </w:t>
      </w:r>
      <w:r>
        <w:t xml:space="preserve">collaborators, post-doctoral experience is counted, and the RGO’s figure (19/12 in year 1)</w:t>
      </w:r>
      <w:r>
        <w:t xml:space="preserve"> </w:t>
      </w:r>
      <w:r>
        <w:t xml:space="preserve">suggests she applied that recognition to the 3.75 years since the doctorate (December 2023)</w:t>
      </w:r>
      <w:r>
        <w:t xml:space="preserve"> </w:t>
      </w:r>
      <w:r>
        <w:t xml:space="preserve">on top of the current position. Whether years of research before the doctorate count is HR’s</w:t>
      </w:r>
      <w:r>
        <w:t xml:space="preserve"> </w:t>
      </w:r>
      <w:r>
        <w:t xml:space="preserve">decision and cannot be settled here.</w:t>
      </w:r>
    </w:p>
    <w:p>
      <w:pPr>
        <w:numPr>
          <w:ilvl w:val="0"/>
          <w:numId w:val="1001"/>
        </w:numPr>
        <w:pStyle w:val="Compact"/>
      </w:pPr>
      <w:r>
        <w:t xml:space="preserve">The exact amounts below annuity 12 are not in the RGO table. The scale’s early steps are</w:t>
      </w:r>
      <w:r>
        <w:t xml:space="preserve"> </w:t>
      </w:r>
      <w:r>
        <w:t xml:space="preserve">larger than the top steps, so the extrapolation with a constant step of 1,049 is a lower</w:t>
      </w:r>
      <w:r>
        <w:t xml:space="preserve"> </w:t>
      </w:r>
      <w:r>
        <w:t xml:space="preserve">bound for 19/9 to 19/11.</w:t>
      </w:r>
    </w:p>
    <w:p>
      <w:pPr>
        <w:pStyle w:val="FirstParagraph"/>
      </w:pPr>
      <w:r>
        <w:t xml:space="preserve">Best estimate for September 2027: 19/10 is the most likely floor, 19/11 to 19/12 is plausible if</w:t>
      </w:r>
      <w:r>
        <w:t xml:space="preserve"> </w:t>
      </w:r>
      <w:r>
        <w:t xml:space="preserve">HR recognises the post-doctoral years at the change of function. Nothing in the rules lets it go</w:t>
      </w:r>
      <w:r>
        <w:t xml:space="preserve"> </w:t>
      </w:r>
      <w:r>
        <w:t xml:space="preserve">lower than today.</w:t>
      </w:r>
    </w:p>
    <w:bookmarkEnd w:id="21"/>
    <w:bookmarkStart w:id="22" w:name="X8dc9638c84b6812cc46cb674f94f453435f8ced"/>
    <w:p>
      <w:pPr>
        <w:pStyle w:val="Heading3"/>
      </w:pPr>
      <w:r>
        <w:t xml:space="preserve">The three possible entries (gross at 100%, one annuity per year from the start)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to 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Floor, 19/10 at start (extrapolated below 19/12)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Middle, 19/11 at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131,855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RGO table, 19/12 at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132,904</w:t>
            </w:r>
          </w:p>
        </w:tc>
      </w:tr>
    </w:tbl>
    <w:p>
      <w:pPr>
        <w:pStyle w:val="BodyText"/>
      </w:pPr>
      <w:r>
        <w:t xml:space="preserve">Recommendation. Enter the RGO figure, CHF 132,904. It is the grants office’s own computation,</w:t>
      </w:r>
      <w:r>
        <w:t xml:space="preserve"> </w:t>
      </w:r>
      <w:r>
        <w:t xml:space="preserve">the SNSF asks applicants to enter the maximum and corrects the amount with HR at award, and a</w:t>
      </w:r>
      <w:r>
        <w:t xml:space="preserve"> </w:t>
      </w:r>
      <w:r>
        <w:t xml:space="preserve">lower entry gains nothing. If the applicant prefers to enter what he expects, the middle</w:t>
      </w:r>
      <w:r>
        <w:t xml:space="preserve"> </w:t>
      </w:r>
      <w:r>
        <w:t xml:space="preserve">scenario is the honest point estimate. In all cases mySNF adds the 23% charges itself, about</w:t>
      </w:r>
      <w:r>
        <w:t xml:space="preserve"> </w:t>
      </w:r>
      <w:r>
        <w:t xml:space="preserve">CHF 163,000 per year all-in at the RGO figure.</w:t>
      </w:r>
    </w:p>
    <w:bookmarkEnd w:id="22"/>
    <w:bookmarkEnd w:id="23"/>
    <w:bookmarkStart w:id="27" w:name="Xc0a5f142442e88d3d328a3956f694b908eb3cb0"/>
    <w:p>
      <w:pPr>
        <w:pStyle w:val="Heading2"/>
      </w:pPr>
      <w:r>
        <w:t xml:space="preserve">2. Project funds, cap CHF 250,000 including charges</w:t>
      </w:r>
    </w:p>
    <w:bookmarkStart w:id="24" w:name="staff"/>
    <w:p>
      <w:pPr>
        <w:pStyle w:val="Heading3"/>
      </w:pPr>
      <w:r>
        <w:t xml:space="preserve">Staff</w:t>
      </w:r>
    </w:p>
    <w:p>
      <w:pPr>
        <w:pStyle w:val="FirstParagraph"/>
      </w:pPr>
      <w:r>
        <w:t xml:space="preserve">Two people, as the applicant intends. A part-time scientific collaborator or adjoint-e</w:t>
      </w:r>
      <w:r>
        <w:t xml:space="preserve"> </w:t>
      </w:r>
      <w:r>
        <w:t xml:space="preserve">scientifique I, class 17, external to the group, and a master’s student paid as ARE (auxiliaire</w:t>
      </w:r>
      <w:r>
        <w:t xml:space="preserve"> </w:t>
      </w:r>
      <w:r>
        <w:t xml:space="preserve">de recherche et d’enseignement).</w:t>
      </w:r>
    </w:p>
    <w:p>
      <w:pPr>
        <w:pStyle w:val="BodyText"/>
      </w:pPr>
      <w:r>
        <w:t xml:space="preserve">Planning rates (assumed, to confirm with the RGO or HR).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17, gross at 100%, entry annuity around 4 to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 105,000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range 92,832 to 125,526 indexed by about 3.5%, middle of the lower third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charges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ARE, class 6 annuity 0, gross per month at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 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UNIGE ARE postings 2026-2027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at 40%, gross per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 1,820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times the 10% figure</w:t>
            </w:r>
          </w:p>
        </w:tc>
      </w:tr>
    </w:tbl>
    <w:p>
      <w:pPr>
        <w:pStyle w:val="BodyText"/>
      </w:pPr>
      <w:r>
        <w:t xml:space="preserve">Scenario A, collaborator at 40% for 48 months.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 23% charges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 at 40%, 48 months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206,640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at 40%, 7 months (second extractor, M3 to M9)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222,310</w:t>
            </w:r>
          </w:p>
        </w:tc>
      </w:tr>
    </w:tbl>
    <w:p>
      <w:pPr>
        <w:pStyle w:val="BodyText"/>
      </w:pPr>
      <w:r>
        <w:t xml:space="preserve">Scenario B, collaborator at 40% for 7 months, then 20% for 36 months.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 23% charges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 at 40%, 7 months (M3 to M9)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 at 20%, 36 months (M10 to M45)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77,490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at 40%, 7 months (second extractor, M3 to M9)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123,295</w:t>
            </w:r>
          </w:p>
        </w:tc>
      </w:tr>
    </w:tbl>
    <w:bookmarkEnd w:id="24"/>
    <w:bookmarkStart w:id="25" w:name="Xf929ae64515fffb6075e3753150015d234d13e5"/>
    <w:p>
      <w:pPr>
        <w:pStyle w:val="Heading3"/>
      </w:pPr>
      <w:r>
        <w:t xml:space="preserve">Other lines (assumed amounts, same in both scenarios)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376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 in mySNF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Travel, conferences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European conferences per year at 2,000 (fee, travel, three nights) and one overseas at 4,000 over the grant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Travel,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short stays of one to two weeks with forecasting groups abroad, at 3,500 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Travel, incoming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visiting researchers hosted in Geneva, at 1,500 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Elicitation workshop with the emergency services (WP4, M36 to M40) and a final results briefing, at 1,500 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database set-up and secure-environment runs with UNIGE IT, about ten developer days at 1,000, plus hosting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services,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cloud or institutional instance for the daily observation-mode dashboard, two years at 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research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and curation of the extraction benchmark, the code and the evaluation outputs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 data-office extraction and preparation fees for the emergency series (to confirm, may be zero)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Ethics commission fees for the Art. 34 LRH authorisation or clarification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lines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56,900</w:t>
            </w:r>
          </w:p>
        </w:tc>
      </w:tr>
    </w:tbl>
    <w:p>
      <w:pPr>
        <w:pStyle w:val="BodyText"/>
      </w:pPr>
      <w:r>
        <w:t xml:space="preserve">Not budgeted, by rule or because the host provides them. Open-access fees (separate SNSF</w:t>
      </w:r>
      <w:r>
        <w:t xml:space="preserve"> </w:t>
      </w:r>
      <w:r>
        <w:t xml:space="preserve">mechanism), computing on the UNIGE HPC (free for UNIGE researchers), laptops and ordinary</w:t>
      </w:r>
      <w:r>
        <w:t xml:space="preserve"> </w:t>
      </w:r>
      <w:r>
        <w:t xml:space="preserve">software, GESICA and GeoAI4EI meeting travel (covered by the consortia, to confirm).</w:t>
      </w:r>
    </w:p>
    <w:bookmarkEnd w:id="25"/>
    <w:bookmarkStart w:id="26" w:name="totals-against-the-cap"/>
    <w:p>
      <w:pPr>
        <w:pStyle w:val="Heading3"/>
      </w:pPr>
      <w:r>
        <w:t xml:space="preserve">Totals against the cap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Scenario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Against CHF 250,000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over by 29,210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under by 69,805</w:t>
            </w:r>
          </w:p>
        </w:tc>
      </w:tr>
    </w:tbl>
    <w:p>
      <w:pPr>
        <w:pStyle w:val="BodyText"/>
      </w:pPr>
      <w:r>
        <w:t xml:space="preserve">Scenario A does not fit at the assumed class-17 rate. It would fit only if the collaborator’s</w:t>
      </w:r>
      <w:r>
        <w:t xml:space="preserve"> </w:t>
      </w:r>
      <w:r>
        <w:t xml:space="preserve">gross is at most about CHF 90,000 at 100%, or if the other lines are cut to about CHF 27,000</w:t>
      </w:r>
      <w:r>
        <w:t xml:space="preserve"> </w:t>
      </w:r>
      <w:r>
        <w:t xml:space="preserve">(no overseas conference, no visitors, half the IT line, no data or regulatory fees).</w:t>
      </w:r>
    </w:p>
    <w:p>
      <w:pPr>
        <w:pStyle w:val="BodyText"/>
      </w:pPr>
      <w:r>
        <w:t xml:space="preserve">Scenario B fits with room. The headroom of about CHF 70,000 could raise the collaborator to 30%</w:t>
      </w:r>
      <w:r>
        <w:t xml:space="preserve"> </w:t>
      </w:r>
      <w:r>
        <w:t xml:space="preserve">in years 2 to 4 (adds about 38,700) or extend the 40% to the full first year (M3 to M14, adds</w:t>
      </w:r>
      <w:r>
        <w:t xml:space="preserve"> </w:t>
      </w:r>
      <w:r>
        <w:t xml:space="preserve">about 10,800), while staying under the cap.</w:t>
      </w:r>
    </w:p>
    <w:p>
      <w:pPr>
        <w:pStyle w:val="BodyText"/>
      </w:pPr>
      <w:r>
        <w:t xml:space="preserve">Sensitivity. Each CHF 10,000 of difference in the class-17 gross at 100% moves scenario A by</w:t>
      </w:r>
      <w:r>
        <w:t xml:space="preserve"> </w:t>
      </w:r>
      <w:r>
        <w:t xml:space="preserve">about 19,700 and scenario B by about 10,200.</w:t>
      </w:r>
    </w:p>
    <w:bookmarkEnd w:id="26"/>
    <w:bookmarkEnd w:id="27"/>
    <w:bookmarkStart w:id="28" w:name="Xc74635b86ec09e9ef801ae75934ce49e9e2e37e"/>
    <w:p>
      <w:pPr>
        <w:pStyle w:val="Heading2"/>
      </w:pPr>
      <w:r>
        <w:t xml:space="preserve">3. Remarks to paste in mySNF (one per category, English)</w:t>
      </w:r>
    </w:p>
    <w:p>
      <w:pPr>
        <w:pStyle w:val="FirstParagraph"/>
      </w:pPr>
      <w:r>
        <w:t xml:space="preserve">Staff, scientific collaborator (class 17, part-time). Supports the labour-intensive specified</w:t>
      </w:r>
      <w:r>
        <w:t xml:space="preserve"> </w:t>
      </w:r>
      <w:r>
        <w:t xml:space="preserve">work. Second extraction arm of the manual benchmark in T1.2 (M3 to M9), then data handling,</w:t>
      </w:r>
      <w:r>
        <w:t xml:space="preserve"> </w:t>
      </w:r>
      <w:r>
        <w:t xml:space="preserve">the rolling replay pipeline of WP3 and reproducibility of the evaluation code. The scientific</w:t>
      </w:r>
      <w:r>
        <w:t xml:space="preserve"> </w:t>
      </w:r>
      <w:r>
        <w:t xml:space="preserve">design, the models and the analyses are the applicant’s (plan 2.3.3, 2.4). Doctoral students</w:t>
      </w:r>
      <w:r>
        <w:t xml:space="preserve"> </w:t>
      </w:r>
      <w:r>
        <w:t xml:space="preserve">and postdocs are not employed, in line with the Ambizione rules.</w:t>
      </w:r>
    </w:p>
    <w:p>
      <w:pPr>
        <w:pStyle w:val="BodyText"/>
      </w:pPr>
      <w:r>
        <w:t xml:space="preserve">Staff, master’s student (ARE). Second independent extractor for the T1.2 benchmark, seven months</w:t>
      </w:r>
      <w:r>
        <w:t xml:space="preserve"> </w:t>
      </w:r>
      <w:r>
        <w:t xml:space="preserve">at 40%, under the registered extraction protocol (plan 2.3.3, T1.2). Hired through the</w:t>
      </w:r>
      <w:r>
        <w:t xml:space="preserve"> </w:t>
      </w:r>
      <w:r>
        <w:t xml:space="preserve">University’s ARE scheme.</w:t>
      </w:r>
    </w:p>
    <w:p>
      <w:pPr>
        <w:pStyle w:val="BodyText"/>
      </w:pPr>
      <w:r>
        <w:t xml:space="preserve">Travel, conferences. Two European conferences per year and one overseas over the grant, to</w:t>
      </w:r>
      <w:r>
        <w:t xml:space="preserve"> </w:t>
      </w:r>
      <w:r>
        <w:t xml:space="preserve">present the registered results to the forecasting and evidence-synthesis communities (ESCAIDE,</w:t>
      </w:r>
      <w:r>
        <w:t xml:space="preserve"> </w:t>
      </w:r>
      <w:r>
        <w:t xml:space="preserve">Epidemics, International Symposium on Forecasting, ISBA, ICASR). Estimated at CHF 2,000 per</w:t>
      </w:r>
      <w:r>
        <w:t xml:space="preserve"> </w:t>
      </w:r>
      <w:r>
        <w:t xml:space="preserve">European conference and CHF 4,000 overseas (plan 2.6, statement of mobility).</w:t>
      </w:r>
    </w:p>
    <w:p>
      <w:pPr>
        <w:pStyle w:val="BodyText"/>
      </w:pPr>
      <w:r>
        <w:t xml:space="preserve">Travel, mobility. Two short stays of one to two weeks with groups working on forecast evaluation</w:t>
      </w:r>
      <w:r>
        <w:t xml:space="preserve"> </w:t>
      </w:r>
      <w:r>
        <w:t xml:space="preserve">and nowcasting, hosts to be arranged once first results exist. Two visiting researchers hosted in</w:t>
      </w:r>
      <w:r>
        <w:t xml:space="preserve"> </w:t>
      </w:r>
      <w:r>
        <w:t xml:space="preserve">Geneva to reuse the open benchmark and code (statement of mobility, Regulations Art. 9 §4c).</w:t>
      </w:r>
    </w:p>
    <w:p>
      <w:pPr>
        <w:pStyle w:val="BodyText"/>
      </w:pPr>
      <w:r>
        <w:t xml:space="preserve">Workshops. One elicitation workshop with two to five experienced people from the Geneva</w:t>
      </w:r>
      <w:r>
        <w:t xml:space="preserve"> </w:t>
      </w:r>
      <w:r>
        <w:t xml:space="preserve">emergency services to set the costs of wrong decisions (plan 2.3.3, T4.1), and one final</w:t>
      </w:r>
      <w:r>
        <w:t xml:space="preserve"> </w:t>
      </w:r>
      <w:r>
        <w:t xml:space="preserve">briefing of results to the data partners (plan 2.6).</w:t>
      </w:r>
    </w:p>
    <w:p>
      <w:pPr>
        <w:pStyle w:val="BodyText"/>
      </w:pPr>
      <w:r>
        <w:t xml:space="preserve">IT services. Set-up of the project database and of the secure-environment runs with UNIGE IT</w:t>
      </w:r>
      <w:r>
        <w:t xml:space="preserve"> </w:t>
      </w:r>
      <w:r>
        <w:t xml:space="preserve">services, and a small instance for the daily dashboard in observation mode for the demand tests</w:t>
      </w:r>
      <w:r>
        <w:t xml:space="preserve"> </w:t>
      </w:r>
      <w:r>
        <w:t xml:space="preserve">that pass validation and that the services authorise (plan 2.3.3, T3.6 and WP4, 2.4).</w:t>
      </w:r>
    </w:p>
    <w:p>
      <w:pPr>
        <w:pStyle w:val="BodyText"/>
      </w:pPr>
      <w:r>
        <w:t xml:space="preserve">Open research data. Deposit and curation of the open extraction benchmark (D1.1), the code and</w:t>
      </w:r>
      <w:r>
        <w:t xml:space="preserve"> </w:t>
      </w:r>
      <w:r>
        <w:t xml:space="preserve">the evaluation outputs in a public repository with a persistent identifier (plan 2.6). Budgeted</w:t>
      </w:r>
      <w:r>
        <w:t xml:space="preserve"> </w:t>
      </w:r>
      <w:r>
        <w:t xml:space="preserve">now since it cannot be added later.</w:t>
      </w:r>
    </w:p>
    <w:p>
      <w:pPr>
        <w:pStyle w:val="BodyText"/>
      </w:pPr>
      <w:r>
        <w:t xml:space="preserve">Data access and regulatory fees. Extraction and preparation of the emergency series by the HUG</w:t>
      </w:r>
      <w:r>
        <w:t xml:space="preserve"> </w:t>
      </w:r>
      <w:r>
        <w:t xml:space="preserve">data office, and ethics commission fees for the Art. 34 LRH authorisation or clarification</w:t>
      </w:r>
      <w:r>
        <w:t xml:space="preserve"> </w:t>
      </w:r>
      <w:r>
        <w:t xml:space="preserve">(plan 2.4, data governance).</w:t>
      </w:r>
    </w:p>
    <w:bookmarkEnd w:id="28"/>
    <w:bookmarkStart w:id="29" w:name="to-confirm-before-entry"/>
    <w:p>
      <w:pPr>
        <w:pStyle w:val="Heading2"/>
      </w:pPr>
      <w:r>
        <w:t xml:space="preserve">4. To confirm before entry</w:t>
      </w:r>
    </w:p>
    <w:p>
      <w:pPr>
        <w:numPr>
          <w:ilvl w:val="0"/>
          <w:numId w:val="1002"/>
        </w:numPr>
        <w:pStyle w:val="Compact"/>
      </w:pPr>
      <w:r>
        <w:t xml:space="preserve">With the RGO. That a class-17 scientific collaborator or adjoint-e scientifique I at 40% is</w:t>
      </w:r>
      <w:r>
        <w:t xml:space="preserve"> </w:t>
      </w:r>
      <w:r>
        <w:t xml:space="preserve">eligible under the 2026 rules (her list named ARE at most 40%, the applicant’s intention is a</w:t>
      </w:r>
      <w:r>
        <w:t xml:space="preserve"> </w:t>
      </w:r>
      <w:r>
        <w:t xml:space="preserve">PAT position plus an ARE), and the gross at 100% HR would apply to such a hire.</w:t>
      </w:r>
    </w:p>
    <w:p>
      <w:pPr>
        <w:numPr>
          <w:ilvl w:val="0"/>
          <w:numId w:val="1002"/>
        </w:numPr>
        <w:pStyle w:val="Compact"/>
      </w:pPr>
      <w:r>
        <w:t xml:space="preserve">With the RGO or HR. The annuity UNIGE would set for the applicant as collaborateur</w:t>
      </w:r>
      <w:r>
        <w:t xml:space="preserve"> </w:t>
      </w:r>
      <w:r>
        <w:t xml:space="preserve">scientifique II in September 2027, if an answer is possible before submission.</w:t>
      </w:r>
    </w:p>
    <w:p>
      <w:pPr>
        <w:numPr>
          <w:ilvl w:val="0"/>
          <w:numId w:val="1002"/>
        </w:numPr>
        <w:pStyle w:val="Compact"/>
      </w:pPr>
      <w:r>
        <w:t xml:space="preserve">With the HUG data office. Whether extraction fees apply to the emergency series, and how much.</w:t>
      </w:r>
    </w:p>
    <w:p>
      <w:pPr>
        <w:numPr>
          <w:ilvl w:val="0"/>
          <w:numId w:val="1002"/>
        </w:numPr>
        <w:pStyle w:val="Compact"/>
      </w:pPr>
      <w:r>
        <w:t xml:space="preserve">With the CCER. Its fee schedule for the planned submission.</w:t>
      </w:r>
    </w:p>
    <w:p>
      <w:pPr>
        <w:numPr>
          <w:ilvl w:val="0"/>
          <w:numId w:val="1002"/>
        </w:numPr>
        <w:pStyle w:val="Compact"/>
      </w:pPr>
      <w:r>
        <w:t xml:space="preserve">In the plan. Table in 2.3.3 currently says</w:t>
      </w:r>
      <w:r>
        <w:t xml:space="preserve"> </w:t>
      </w:r>
      <w:r>
        <w:t xml:space="preserve">“</w:t>
      </w:r>
      <w:r>
        <w:t xml:space="preserve">Research assistants (master’s students, at most</w:t>
      </w:r>
      <w:r>
        <w:t xml:space="preserve"> </w:t>
      </w:r>
      <w:r>
        <w:t xml:space="preserve">40%)</w:t>
      </w:r>
      <w:r>
        <w:t xml:space="preserve">”</w:t>
      </w:r>
      <w:r>
        <w:t xml:space="preserve">. If the class-17 position is confirmed, the line becomes</w:t>
      </w:r>
      <w:r>
        <w:t xml:space="preserve"> </w:t>
      </w:r>
      <w:r>
        <w:t xml:space="preserve">“</w:t>
      </w:r>
      <w:r>
        <w:t xml:space="preserve">Scientific collaborator</w:t>
      </w:r>
      <w:r>
        <w:t xml:space="preserve"> </w:t>
      </w:r>
      <w:r>
        <w:t xml:space="preserve">(class 17, part-time) and a master’s student (ARE)</w:t>
      </w:r>
      <w:r>
        <w:t xml:space="preserve">”</w:t>
      </w:r>
      <w:r>
        <w:t xml:space="preserve">. This is a plan edit and waits for the</w:t>
      </w:r>
      <w:r>
        <w:t xml:space="preserve"> </w:t>
      </w:r>
      <w:r>
        <w:t xml:space="preserve">applicant’s go-ahead, with the reviewers’ comments.</w:t>
      </w:r>
    </w:p>
    <w:bookmarkEnd w:id="29"/>
    <w:bookmarkStart w:id="30" w:name="rules-from-the-call-documents-unchanged"/>
    <w:p>
      <w:pPr>
        <w:pStyle w:val="Heading2"/>
      </w:pPr>
      <w:r>
        <w:t xml:space="preserve">5. Rules from the call documents (unchanged)</w:t>
      </w:r>
    </w:p>
    <w:p>
      <w:pPr>
        <w:numPr>
          <w:ilvl w:val="0"/>
          <w:numId w:val="1003"/>
        </w:numPr>
        <w:pStyle w:val="Compact"/>
      </w:pPr>
      <w:r>
        <w:t xml:space="preserve">Project funds capped at CHF 250,000 for four years (Art. 10 §4), pro-rated if shorter.</w:t>
      </w:r>
    </w:p>
    <w:p>
      <w:pPr>
        <w:numPr>
          <w:ilvl w:val="0"/>
          <w:numId w:val="1003"/>
        </w:numPr>
        <w:pStyle w:val="Compact"/>
      </w:pPr>
      <w:r>
        <w:t xml:space="preserve">Applicant salary separate, work quota 100% (80% only for care duties or further</w:t>
      </w:r>
      <w:r>
        <w:t xml:space="preserve"> </w:t>
      </w:r>
      <w:r>
        <w:t xml:space="preserve">qualification). The SNSF confirms the exact salary with the institution for approved grants.</w:t>
      </w:r>
    </w:p>
    <w:p>
      <w:pPr>
        <w:numPr>
          <w:ilvl w:val="0"/>
          <w:numId w:val="1003"/>
        </w:numPr>
        <w:pStyle w:val="Compact"/>
      </w:pPr>
      <w:r>
        <w:t xml:space="preserve">Doctoral students and postdocs cannot be employed. Other staff can, and must be justified in</w:t>
      </w:r>
      <w:r>
        <w:t xml:space="preserve"> </w:t>
      </w:r>
      <w:r>
        <w:t xml:space="preserve">the plan (Guidelines 4.3), which 2.4 does.</w:t>
      </w:r>
    </w:p>
    <w:p>
      <w:pPr>
        <w:numPr>
          <w:ilvl w:val="0"/>
          <w:numId w:val="1003"/>
        </w:numPr>
        <w:pStyle w:val="Compact"/>
      </w:pPr>
      <w:r>
        <w:t xml:space="preserve">Equipment of enduring value at most CHF 100,000, not a live constraint.</w:t>
      </w:r>
    </w:p>
    <w:p>
      <w:pPr>
        <w:numPr>
          <w:ilvl w:val="0"/>
          <w:numId w:val="1003"/>
        </w:numPr>
        <w:pStyle w:val="Compact"/>
      </w:pPr>
      <w:r>
        <w:t xml:space="preserve">Open-access publication costs not eligible here. Open research data costs eligible, to be</w:t>
      </w:r>
      <w:r>
        <w:t xml:space="preserve"> </w:t>
      </w:r>
      <w:r>
        <w:t xml:space="preserve">budgeted now.</w:t>
      </w:r>
    </w:p>
    <w:p>
      <w:pPr>
        <w:numPr>
          <w:ilvl w:val="0"/>
          <w:numId w:val="1003"/>
        </w:numPr>
        <w:pStyle w:val="Compact"/>
      </w:pPr>
      <w:r>
        <w:t xml:space="preserve">No budget change after submission.</w:t>
      </w:r>
    </w:p>
    <w:bookmarkEnd w:id="30"/>
    <w:bookmarkStart w:id="31" w:name="decision-log"/>
    <w:p>
      <w:pPr>
        <w:pStyle w:val="Heading2"/>
      </w:pPr>
      <w:r>
        <w:t xml:space="preserve">6. Decision log</w:t>
      </w:r>
    </w:p>
    <w:p>
      <w:pPr>
        <w:numPr>
          <w:ilvl w:val="0"/>
          <w:numId w:val="1004"/>
        </w:numPr>
        <w:pStyle w:val="Compact"/>
      </w:pPr>
      <w:r>
        <w:t xml:space="preserve">13 Oct. RGO salary table from 19/12, average CHF 132,903.50, charges 23%, status collaborateur</w:t>
      </w:r>
      <w:r>
        <w:t xml:space="preserve"> </w:t>
      </w:r>
      <w:r>
        <w:t xml:space="preserve">scientifique II class 19. Budget guidance, justify every line in the remarks.</w:t>
      </w:r>
    </w:p>
    <w:p>
      <w:pPr>
        <w:numPr>
          <w:ilvl w:val="0"/>
          <w:numId w:val="1004"/>
        </w:numPr>
        <w:pStyle w:val="Compact"/>
      </w:pPr>
      <w:r>
        <w:t xml:space="preserve">14 Oct. RGO list of typical lines. Travel, mobility stays, two to three conferences per year,</w:t>
      </w:r>
      <w:r>
        <w:t xml:space="preserve"> </w:t>
      </w:r>
      <w:r>
        <w:t xml:space="preserve">workshops, ARE at most 40%, IT services.</w:t>
      </w:r>
    </w:p>
    <w:p>
      <w:pPr>
        <w:numPr>
          <w:ilvl w:val="0"/>
          <w:numId w:val="1004"/>
        </w:numPr>
        <w:pStyle w:val="Compact"/>
      </w:pPr>
      <w:r>
        <w:t xml:space="preserve">15 Oct. Applicant: he would start at 19/10 at best. Plan table rewritten without the 50%</w:t>
      </w:r>
      <w:r>
        <w:t xml:space="preserve"> </w:t>
      </w:r>
      <w:r>
        <w:t xml:space="preserve">collaborator.</w:t>
      </w:r>
    </w:p>
    <w:p>
      <w:pPr>
        <w:numPr>
          <w:ilvl w:val="0"/>
          <w:numId w:val="1004"/>
        </w:numPr>
        <w:pStyle w:val="Compact"/>
      </w:pPr>
      <w:r>
        <w:t xml:space="preserve">20 Oct. Applicant: current scale 19/9 (adjoint scientifique), annuities frozen three years,</w:t>
      </w:r>
      <w:r>
        <w:t xml:space="preserve"> </w:t>
      </w:r>
      <w:r>
        <w:t xml:space="preserve">Ambizione status collaborateur scientifique II with annuities recalculated, no decrease</w:t>
      </w:r>
      <w:r>
        <w:t xml:space="preserve"> </w:t>
      </w:r>
      <w:r>
        <w:t xml:space="preserve">possible. Staff intention: one external person at 40% (PAT, adjoint scientifique, class 17)</w:t>
      </w:r>
      <w:r>
        <w:t xml:space="preserve"> </w:t>
      </w:r>
      <w:r>
        <w:t xml:space="preserve">plus a paid master’s student. Two simulations requested (40% for 48 months, 40% for 7 months</w:t>
      </w:r>
      <w:r>
        <w:t xml:space="preserve"> </w:t>
      </w:r>
      <w:r>
        <w:t xml:space="preserve">then 20% for 36 months). Conferences: two per year in Europe plus one overseas. All other</w:t>
      </w:r>
      <w:r>
        <w:t xml:space="preserve"> </w:t>
      </w:r>
      <w:r>
        <w:t xml:space="preserve">expenses to be included.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2026-10-20T11:50:36Z</dcterms:created>
  <dcterms:modified xsi:type="dcterms:W3CDTF">2026-10-20T11:50:36Z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