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6fb2173817eb7bbbe06940f5907621b778e1824"/>
    <w:p>
      <w:pPr>
        <w:pStyle w:val="Heading5"/>
      </w:pPr>
      <w:r>
        <w:t xml:space="preserve">T2.1. Specify and identify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a7960acf36c1d85bbd791b43ddf50e138171798"/>
    <w:p>
      <w:pPr>
        <w:pStyle w:val="Heading4"/>
      </w:pPr>
      <w:r>
        <w:t xml:space="preserve">WP3. Test forecasts using historically available information (M1–M42)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t41-elicit-costs-and-thresholds-m24m32"/>
    <w:p>
      <w:pPr>
        <w:pStyle w:val="Heading5"/>
      </w:pPr>
      <w:r>
        <w:t xml:space="preserve">T4.1. Elicit costs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63636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63636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 data gate checked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local outcome target selected and data harmonised, or access fallback activated</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2026-10-15T05:12:03Z</dcterms:created>
  <dcterms:modified xsi:type="dcterms:W3CDTF">2026-10-15T05:12:03Z</dcterms:modified>
</cp:coreProperties>
</file>

<file path=docProps/custom.xml><?xml version="1.0" encoding="utf-8"?>
<Properties xmlns="http://schemas.openxmlformats.org/officeDocument/2006/custom-properties" xmlns:vt="http://schemas.openxmlformats.org/officeDocument/2006/docPropsVTypes"/>
</file>