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 : si les a</w:t>
      </w:r>
      <w:r>
        <w:t xml:space="preserve"> </w:t>
      </w:r>
      <w:r>
        <w:t xml:space="preserve">priori issus de la littérature n’améliorent pas la prévision, ou si leurs effets nuisibles ne</w:t>
      </w:r>
      <w:r>
        <w:t xml:space="preserve"> </w:t>
      </w:r>
      <w:r>
        <w:t xml:space="preserve">peuvent pas être détectés à temps, le projet l’établira aussi - et ce résultat-là serait</w:t>
      </w:r>
      <w:r>
        <w:t xml:space="preserve"> </w:t>
      </w:r>
      <w:r>
        <w:t xml:space="preserve">également utile.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</w:t>
      </w:r>
      <w:r>
        <w:t xml:space="preserve"> </w:t>
      </w:r>
      <w:r>
        <w:t xml:space="preserve">prévision est la tâche la plus fréquemment abordée, et que l’incertitude, la transparence et</w:t>
      </w:r>
      <w:r>
        <w:t xml:space="preserve"> </w:t>
      </w:r>
      <w:r>
        <w:t xml:space="preserve">l’explicabilité y sont rarement traitées explicitement. COLDSTART attaque précisément ces</w:t>
      </w:r>
      <w:r>
        <w:t xml:space="preserve"> </w:t>
      </w:r>
      <w:r>
        <w:t xml:space="preserve">manques : incertitude propagée de bout en bout, règles d’évaluation pré-enregistrées,</w:t>
      </w:r>
      <w:r>
        <w:t xml:space="preserve"> </w:t>
      </w:r>
      <w:r>
        <w:t xml:space="preserve">bénéfice décisionnel comme critère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9ed6e14d854f09b15d072f72afbc3b2519be28c"/>
    <w:p>
      <w:pPr>
        <w:pStyle w:val="Heading2"/>
      </w:pPr>
      <w:r>
        <w:t xml:space="preserve">Ce que le projet fait (quatre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en direct dans la littérature ouverte, criblage,</w:t>
      </w:r>
      <w:r>
        <w:t xml:space="preserve"> </w:t>
      </w:r>
      <w:r>
        <w:t xml:space="preserve">extraction avec provenance), que le projet transforme en instrument validé.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 (occupation des soins intensifs, attente aux</w:t>
      </w:r>
      <w:r>
        <w:t xml:space="preserve"> </w:t>
      </w:r>
      <w:r>
        <w:t xml:space="preserve">urgences) ; ils sont affinés avec les équipes de terrain, pas imposés. Ces outils viennent</w:t>
      </w:r>
      <w:r>
        <w:t xml:space="preserve"> </w:t>
      </w:r>
      <w:r>
        <w:t xml:space="preserve">de l’économétrie financière, où j’ai travaillé quinze 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 (reconstruction</w:t>
      </w:r>
      <w:r>
        <w:t xml:space="preserve"> </w:t>
      </w:r>
      <w:r>
        <w:t xml:space="preserve">stricte de l’information), contre des références établies (modèles saisonniers,</w:t>
      </w:r>
      <w:r>
        <w:t xml:space="preserve"> </w:t>
      </w:r>
      <w:r>
        <w:t xml:space="preserve">algorithmes de surveillance, nowcasting bayésien).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/ catégorie large et degré d’urgence (144), ou par catégorie de passage</w:t>
      </w:r>
      <w:r>
        <w:t xml:space="preserve"> </w:t>
      </w:r>
      <w:r>
        <w:t xml:space="preserve">(urgences), 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</w:t>
      </w:r>
      <w:r>
        <w:t xml:space="preserve"> </w:t>
      </w:r>
      <w:r>
        <w:t xml:space="preserve">d’observation complémentaires. Le périmètre est le canton de Genève au jour ; une validation</w:t>
      </w:r>
      <w:r>
        <w:t xml:space="preserve"> </w:t>
      </w:r>
      <w:r>
        <w:t xml:space="preserve">externe pré-spécifiée est prévue sur GE–VD–NE.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ce que valent réellement les prévisions</w:t>
      </w:r>
      <w:r>
        <w:t xml:space="preserve"> </w:t>
      </w:r>
      <w:r>
        <w:t xml:space="preserve">précoces pour la planification des ressources - y compris un résultat négatif, s’il est</w:t>
      </w:r>
      <w:r>
        <w:t xml:space="preserve"> </w:t>
      </w:r>
      <w:r>
        <w:t xml:space="preserve">négatif.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Un déploiement en</w:t>
      </w:r>
      <w:r>
        <w:t xml:space="preserve"> </w:t>
      </w:r>
      <w:r>
        <w:rPr>
          <w:bCs/>
          <w:b/>
        </w:rPr>
        <w:t xml:space="preserve">mode observation</w:t>
      </w:r>
      <w:r>
        <w:t xml:space="preserve"> </w:t>
      </w:r>
      <w:r>
        <w:t xml:space="preserve">en fin de projet : les prévisions sont enregistrées,</w:t>
      </w:r>
      <w:r>
        <w:t xml:space="preserve"> </w:t>
      </w:r>
      <w:r>
        <w:t xml:space="preserve">non utilisées pour décider - aucun impact clinique, aucune charge opérationnelle.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la revue systématique GESICA.</w:t>
      </w:r>
    </w:p>
    <w:bookmarkEnd w:id="24"/>
    <w:bookmarkStart w:id="25" w:name="calendrier"/>
    <w:p>
      <w:pPr>
        <w:pStyle w:val="Heading2"/>
      </w:pPr>
      <w:r>
        <w:t xml:space="preserve">Calendrier</w:t>
      </w:r>
    </w:p>
    <w:p>
      <w:pPr>
        <w:pStyle w:val="FirstParagraph"/>
      </w:pPr>
      <w:r>
        <w:t xml:space="preserve">Dépôt : 3 novembre 2026 · Phase 1 : avril 2027 · Entretien (sciences de la vie) : 3–4 juin</w:t>
      </w:r>
      <w:r>
        <w:t xml:space="preserve"> </w:t>
      </w:r>
      <w:r>
        <w:t xml:space="preserve">2027 · Décision : août 2027 · Début : entre le 1er septembre 2027 et le 1er septembre 2028.</w:t>
      </w:r>
      <w:r>
        <w:t xml:space="preserve"> </w:t>
      </w:r>
      <w:r>
        <w:t xml:space="preserve">Pour le dossier : lettre de collaboration souhaitée d’ici la mi-octobre 2026.</w:t>
      </w:r>
    </w:p>
    <w:bookmarkEnd w:id="25"/>
    <w:sectPr>
      <w:pgSz w:w="11906" w:h="16838"/>
      <w:pgMar w:top="850" w:right="964" w:bottom="850" w:left="96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1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2026-10-07T08:34:56Z</dcterms:created>
  <dcterms:modified xsi:type="dcterms:W3CDTF">2026-10-07T08:34:56Z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