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evidence from other settings and past events can improve forecasts before enough outcomes from the current episode are available, and whether the method can detect when that evidence is misleading. Published studies help identify plausible parameter values, relevant explanatory variables and their lags, suitable model forms, and outcome definitions and warning thresholds. A prior is a probability distribution for model parameters before it is updated with outcomes from the current episode. It represents uncertainty rather than treating a published estimate as exact. HEADSTART will extract this information, measure extraction error and assess how relevant each finding is to the local setting. The main focus is on comparing an evidence-informed strategy to a reference strategy. Both employ the same available context feeds, previous local outcomes, and the outcomes observed so far in the current episode. Only the evidence-informed strategy uses information extracted from published studies to refine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Before any clinical data are touched, the methods are validated on open Swiss series and released as a public benchmark. If published evidence improves forecasts, the project shows when and by how much. If it brings nothing or causes harm, the result says where it should not be used. For the crisis types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in a real forecasting setting to make up for missing outcome data.</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an explicit measurement-error model can correct the distributions.</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and their effect on forecasts at the start of a crisis has not been measured.</w:t>
      </w:r>
    </w:p>
    <w:bookmarkEnd w:id="22"/>
    <w:bookmarkStart w:id="23" w:name="X8d342a1ae2f8c82ff8e9121d007457c97fd6ea7"/>
    <w:p>
      <w:pPr>
        <w:pStyle w:val="Heading3"/>
      </w:pPr>
      <w:r>
        <w:t xml:space="preserve">2.1.3 Escalation of the demand for the service should also be assessed</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under misspecification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systematic review of AI in emergency medical services [7], of which I am a co-author,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models of several families with time-series validation, and builds compartmental model parts from published parameter ranges. Evidence updates are reviewed before they are applied. All of this exists as a prototype only. None of it has been verified, measured or validated yet, and that is the work of this grant.</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 under the registered comparison.</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help estimate the relationship between the inputs and the outcome of interest, provided its uncertainty and local relevance are represented.</w:t>
      </w:r>
    </w:p>
    <w:tbl>
      <w:tblPr>
        <w:tblStyle w:val="Table"/>
        <w:tblW w:w="10546" w:type="dxa"/>
        <w:tblLook w:firstRow="1" w:lastRow="0" w:firstColumn="0" w:lastColumn="0" w:noHBand="0" w:noVBand="0" w:val="0020"/>
        <w:jc w:val="start"/>
        <w:tblLayout w:type="fixed"/>
      </w:tblPr>
      <w:tblGrid>
        <w:gridCol w:w="1560"/>
        <w:gridCol w:w="2091"/>
        <w:gridCol w:w="689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Does automated extraction preserve the uncertainty reported in studies?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the model reduce reliance on published evidence when it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3604571"/>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3604571"/>
                    </a:xfrm>
                    <a:prstGeom prst="rect">
                      <a:avLst/>
                    </a:prstGeom>
                    <a:noFill/>
                    <a:ln w="9525">
                      <a:noFill/>
                      <a:headEnd/>
                      <a:tailEnd/>
                    </a:ln>
                  </pic:spPr>
                </pic:pic>
              </a:graphicData>
            </a:graphic>
          </wp:inline>
        </w:drawing>
      </w:r>
    </w:p>
    <w:p>
      <w:pPr>
        <w:pStyle w:val="BodyText"/>
      </w:pPr>
      <w:r>
        <w:rPr>
          <w:iCs/>
          <w:i/>
        </w:rPr>
        <w:t xml:space="preserve">Figure 1. What exists at the start of a crisis, what HEADSTART does (WP1 to WP4), the test, and where it runs.</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the corrected distributions match the manual ones.</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nothing from the literature. How long this advantage lasts as outcomes come in is a secondary question.</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made wrong,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in a way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 Legionellosis is the third test, in year four, on the linked case-environment data, and forecasts case incidence rather than demand. No fourth domain is planned. The outcome, the population and the pathogen of each test are not fixed in this plan. They will depend on what the published evidence defines and on the data available, for example emergency calls filtered on the recorded symptoms, emergency-department visits, hospital admissions, bed or ICU occupancy, or case counts [39, 40]. The candidates are listed at registration. The target is then chosen on access, data quality, time resolution and usefulness for the services, before any forecast performance is compared, and it does not change afterwards. Open public series support the validation of the methods but are not presented as a substitute for local service data. A month-12 data gate checks that the selected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edc8eba5007710010c26f0d188cd5b9fd6c14f4"/>
    <w:p>
      <w:pPr>
        <w:pStyle w:val="Heading5"/>
      </w:pPr>
      <w:r>
        <w:t xml:space="preserve">T1.1. Define the evidence target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X6a0faf3a0070b42dad420c82deb40ef5734c23e"/>
    <w:p>
      <w:pPr>
        <w:pStyle w:val="Heading5"/>
      </w:pPr>
      <w:r>
        <w:t xml:space="preserve">T1.2. Build the quantitative extraction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Disagreements are settled by discussion and the decision is recorded.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1f0f12e8d6f84b4ee5e4c739d1c5cd9f8ae9623"/>
    <w:p>
      <w:pPr>
        <w:pStyle w:val="Heading5"/>
      </w:pPr>
      <w:r>
        <w:t xml:space="preserve">T1.3. Characterise automated extraction error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9cdeccc86e5c88b64f2110c6ca75497fb99dce6"/>
    <w:p>
      <w:pPr>
        <w:pStyle w:val="Heading5"/>
      </w:pPr>
      <w:r>
        <w:t xml:space="preserve">T1.4. Construct uncertainty-aware evidence distributions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t15-transportability-screen-m15m20"/>
    <w:p>
      <w:pPr>
        <w:pStyle w:val="Heading5"/>
      </w:pPr>
      <w:r>
        <w:t xml:space="preserve">T1.5. Transportability screen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manual extraction time is limited, the benchmark narrows to the core kinds of parameters.</w:t>
      </w:r>
    </w:p>
    <w:bookmarkEnd w:id="47"/>
    <w:bookmarkEnd w:id="48"/>
    <w:bookmarkStart w:id="54" w:name="Xc0434c24ca00f6b112465fd7b991c18f654948c"/>
    <w:p>
      <w:pPr>
        <w:pStyle w:val="Heading4"/>
      </w:pPr>
      <w:r>
        <w:t xml:space="preserve">WP2. Model levels of health-system pressure (M1–M28)</w:t>
      </w:r>
    </w:p>
    <w:bookmarkStart w:id="49" w:name="Xcfcc11e2b7bec828711203675136706e3bef48c"/>
    <w:p>
      <w:pPr>
        <w:pStyle w:val="Heading5"/>
      </w:pPr>
      <w:r>
        <w:t xml:space="preserve">T2.1. Specify and identify the state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w:t>
      </w:r>
    </w:p>
    <w:bookmarkEnd w:id="49"/>
    <w:bookmarkStart w:id="50" w:name="t22-represent-the-critical-tail-m6m14"/>
    <w:p>
      <w:pPr>
        <w:pStyle w:val="Heading5"/>
      </w:pPr>
      <w:r>
        <w:t xml:space="preserve">T2.2. Represent the critical tail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This work supports the main comparison and does not carry a hypothesis of its own.</w:t>
      </w:r>
    </w:p>
    <w:bookmarkEnd w:id="50"/>
    <w:bookmarkStart w:id="51" w:name="Xe333bd844ed9d0b4a6f19dd7593b876e27462b4"/>
    <w:p>
      <w:pPr>
        <w:pStyle w:val="Heading5"/>
      </w:pPr>
      <w:r>
        <w:t xml:space="preserve">T2.3. Include published evidence in the model parameters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b9bfd8debfdb203fd11e999ef1fb877424883c9"/>
    <w:p>
      <w:pPr>
        <w:pStyle w:val="Heading5"/>
      </w:pPr>
      <w:r>
        <w:t xml:space="preserve">T2.4. Add resilience indicators as a secondary information channel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319ea3cda6221798b95d6fb40987f10f35f77e1"/>
    <w:p>
      <w:pPr>
        <w:pStyle w:val="Heading5"/>
      </w:pPr>
      <w:r>
        <w:t xml:space="preserve">T2.5. Calibration, automation and validity monitoring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Models that fail these checks are set aside. The working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11394d15ad926b825360dd8c79c1031038fa8f4"/>
    <w:p>
      <w:pPr>
        <w:pStyle w:val="Heading4"/>
      </w:pPr>
      <w:r>
        <w:t xml:space="preserve">WP3. Test forecasts using historically available information (M12–M42)</w:t>
      </w:r>
    </w:p>
    <w:bookmarkStart w:id="55" w:name="X2d4b80b8a08fe78a38b6e5d3e36fb5dbba8cd37"/>
    <w:p>
      <w:pPr>
        <w:pStyle w:val="Heading5"/>
      </w:pPr>
      <w:r>
        <w:t xml:space="preserve">T3.0. Outcomes, data gate and episode eligibility (M1–M14)</w:t>
      </w:r>
    </w:p>
    <w:p>
      <w:pPr>
        <w:pStyle w:val="FirstParagraph"/>
      </w:pPr>
      <w:r>
        <w:t xml:space="preserve">Outcomes. The outcome of each test is not fixed in advance. It depends on what the published evidence defines and on the data available, for example emergency calls (CASU-144) filtered on the symptoms recorded for each call, emergency-department visits by cause, hospital admissions, bed or ICU occupancy, the HUG COVID-19 hospitalisation series I analysed before [35], or well-known open series. The candidates are listed at registration in order of preference. The target is chosen on access, data quality, time resolution and usefulness for the services, before any forecast is compared. The causes and population groups used to filter it come from the evidence. Once chosen, the target stays fixed, so that no outcome can be picked afterwards because it gives better results. The other candidates serve as extra inputs for the pressure model. Weather, air quality, wastewater, sentinel consultations and calendar effects are context inputs. Open public series help validate the methods but do not replace local service data. The design is single-canton on purpose, and transfer is tested across the three crisis types and on the open national benchmark.</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Respiratory viruses circulating at the same time count as one episode.</w:t>
      </w:r>
    </w:p>
    <w:p>
      <w:pPr>
        <w:pStyle w:val="BodyText"/>
      </w:pPr>
      <w:r>
        <w:t xml:space="preserve">Registration. The outcome list, the gate and the eligibility rules are registered first. After the month-12 check, but before any performance is seen, a second registration fixes the early-episode window N, the main forecast horizon per crisis type and the margin Δ. Horizons follow what the services need, not results.</w:t>
      </w:r>
    </w:p>
    <w:p>
      <w:pPr>
        <w:pStyle w:val="BodyText"/>
      </w:pPr>
      <w:r>
        <w:t xml:space="preserve">Open-data track (M12–M24). Before clinical records are connected, the whole pipeline runs on open Swiss series (federal respiratory surveillance, national wastewater data, weekly deaths and MeteoSwiss weather), with archived multi-model forecasts as comparators [3, 4]. This checks that the replay and selection machinery works.</w:t>
      </w:r>
    </w:p>
    <w:bookmarkEnd w:id="55"/>
    <w:bookmarkStart w:id="56" w:name="X70eeaa2d41fea3b2059b80eb07a5f9cd68164b6"/>
    <w:p>
      <w:pPr>
        <w:pStyle w:val="Heading5"/>
      </w:pPr>
      <w:r>
        <w:t xml:space="preserve">T3.1. Assemble the retrospective information set (M12–M20)</w:t>
      </w:r>
    </w:p>
    <w:p>
      <w:pPr>
        <w:pStyle w:val="FirstParagraph"/>
      </w:pPr>
      <w:r>
        <w:t xml:space="preserve">The outcome series are lined up with the context feeds and with each other on a daily grid. Missing values and reporting delays are measured, and recent days that are still incomplete are corrected with nowcasting [43, 44], because reporting tends to slow down under pressure and can look like an early warning. The HUG COVID-19 hospitalisation data I analysed before [35] are requested again as an extra series to check and calibrate the respiratory models. Pharmacy sales and wastewater measurements are requested through the cantonal pharmacist and used as early indicators where access and coverage allow.</w:t>
      </w:r>
    </w:p>
    <w:bookmarkEnd w:id="56"/>
    <w:bookmarkStart w:id="57" w:name="X732c8171905058a06d4900e04fc44f0e3e215e1"/>
    <w:p>
      <w:pPr>
        <w:pStyle w:val="Heading5"/>
      </w:pPr>
      <w:r>
        <w:t xml:space="preserve">T3.2. Reconstruct the true information set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1b4be48293d1c4b7fa098a795079a0b73a54d6d"/>
    <w:p>
      <w:pPr>
        <w:pStyle w:val="Heading5"/>
      </w:pPr>
      <w:r>
        <w:t xml:space="preserve">T3.3. The model library and the automated selection engine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nothing taken from the literature.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being the unit of analysis because only 13 to 14 candidate respiratory episodes exist. A paired permutation test and a bootstrap over whole episodes are both registered. Simulations run before the second registration set the type-I error, the power, the smallest number of episodes for a confirmatory claim and the window N, without using any forecast result. The minimum relevant improvement is fixed at the second registration by a rule based on operational relevance, and Δ is half of it. Secondary measures are the log score, calibration and the detection of escalation at matched false-alarm rates. For H3b, adaptive weighting passes when its skill score is no more than Δ below fixed weighting with correct evidence and better than fixed weighting with shifted evidence.</w:t>
      </w:r>
    </w:p>
    <w:bookmarkEnd w:id="58"/>
    <w:bookmarkStart w:id="59" w:name="t34-map-benefit-and-failure-m28m38"/>
    <w:p>
      <w:pPr>
        <w:pStyle w:val="Heading5"/>
      </w:pPr>
      <w:r>
        <w:t xml:space="preserve">T3.4. Map benefit and failure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the-second-and-third-tests-m34m42"/>
    <w:p>
      <w:pPr>
        <w:pStyle w:val="Heading5"/>
      </w:pPr>
      <w:r>
        <w:t xml:space="preserve">T3.5. The second and third tests (M34–M42)</w:t>
      </w:r>
    </w:p>
    <w:p>
      <w:pPr>
        <w:pStyle w:val="FirstParagraph"/>
      </w:pPr>
      <w:r>
        <w:t xml:space="preserve">The heat test is the second test. The legionellosis test, in year four, applies the same comparison to case-incidence forecasts at the start of an outbreak, using the linked case-environment data.</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on local service data. If access fails, the scientific claim narrows and the decision analysis is limited accordingly.</w:t>
      </w:r>
    </w:p>
    <w:bookmarkEnd w:id="60"/>
    <w:bookmarkEnd w:id="61"/>
    <w:bookmarkStart w:id="65" w:name="X817573a182041657fbc376b8819e3f332001f1c"/>
    <w:p>
      <w:pPr>
        <w:pStyle w:val="Heading4"/>
      </w:pPr>
      <w:r>
        <w:t xml:space="preserve">WP4. From predictive skill to operational value (M24–M48)</w:t>
      </w:r>
    </w:p>
    <w:bookmarkStart w:id="62" w:name="Xf4a9556a51514f6c6cfe18f6354d6daf4608cf0"/>
    <w:p>
      <w:pPr>
        <w:pStyle w:val="Heading5"/>
      </w:pPr>
      <w:r>
        <w:t xml:space="preserve">T4.1. Elicit operational losses and thresholds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16b5f8351c46bb58f27b79671226450e9e24e9d"/>
    <w:p>
      <w:pPr>
        <w:pStyle w:val="Heading5"/>
      </w:pPr>
      <w:r>
        <w:t xml:space="preserve">T4.2. Decision-analytic evaluation and fairness audit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groups by age and sex. A model that is well calibrated overall but poor for a group that matters for decisions does not pass.</w:t>
      </w:r>
    </w:p>
    <w:bookmarkEnd w:id="63"/>
    <w:bookmarkStart w:id="64" w:name="X992db0c14190232cd3dadd2da3dc249adeca167"/>
    <w:p>
      <w:pPr>
        <w:pStyle w:val="Heading5"/>
      </w:pPr>
      <w:r>
        <w:t xml:space="preserve">T4.3. Observation-mode dashboard and living updating (M34–M48)</w:t>
      </w:r>
    </w:p>
    <w:p>
      <w:pPr>
        <w:pStyle w:val="FirstParagraph"/>
      </w:pPr>
      <w:r>
        <w:t xml:space="preserve">Where a strategy passes the forecast and decision checks and the services authorise it, the project runs a daily dashboard in observation mode for that crisis type.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public forecasting benchmark, the library of evidence-derived inputs and the decision-analysis framework),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1868"/>
        <w:gridCol w:w="3206"/>
        <w:gridCol w:w="2818"/>
        <w:gridCol w:w="2654"/>
      </w:tblGrid>
      <w:tr>
        <w:trPr>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w:t>
            </w:r>
          </w:p>
        </w:tc>
      </w:tr>
      <w:tr>
        <w:tc>
          <w:tcPr/>
          <w:p>
            <w:pPr>
              <w:pStyle w:val="Compact"/>
              <w:jc w:val="left"/>
            </w:pPr>
            <w:r>
              <w:t xml:space="preserve">HUG, emergency department</w:t>
            </w:r>
          </w:p>
        </w:tc>
        <w:tc>
          <w:tcPr/>
          <w:p>
            <w:pPr>
              <w:pStyle w:val="Compact"/>
              <w:jc w:val="left"/>
            </w:pPr>
            <w:r>
              <w:t xml:space="preserve">Prof. Thibaut Desmettre, head of department</w:t>
            </w:r>
          </w:p>
        </w:tc>
        <w:tc>
          <w:tcPr/>
          <w:p>
            <w:pPr>
              <w:pStyle w:val="Compact"/>
              <w:jc w:val="left"/>
            </w:pPr>
            <w:r>
              <w:t xml:space="preserve">ED and ICU data, clinical partner</w:t>
            </w:r>
          </w:p>
        </w:tc>
        <w:tc>
          <w:tcPr/>
          <w:p>
            <w:pPr>
              <w:pStyle w:val="Compact"/>
              <w:jc w:val="left"/>
            </w:pPr>
            <w:r>
              <w:t xml:space="preserve">Extraction in discussion, letter requested</w:t>
            </w:r>
          </w:p>
        </w:tc>
      </w:tr>
      <w:tr>
        <w:tc>
          <w:tcPr/>
          <w:p>
            <w:pPr>
              <w:pStyle w:val="Compact"/>
              <w:jc w:val="left"/>
            </w:pPr>
            <w:r>
              <w:t xml:space="preserve">CASU-144, HUG</w:t>
            </w:r>
          </w:p>
        </w:tc>
        <w:tc>
          <w:tcPr/>
          <w:p>
            <w:pPr>
              <w:pStyle w:val="Compact"/>
              <w:jc w:val="left"/>
            </w:pPr>
            <w:r>
              <w:t xml:space="preserve">Dr Robert Larribau</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c>
          <w:tcPr/>
          <w:p>
            <w:pPr>
              <w:pStyle w:val="Compact"/>
              <w:jc w:val="left"/>
            </w:pPr>
            <w:r>
              <w:t xml:space="preserve">GeoAI4EI (Horizon Europe)</w:t>
            </w:r>
          </w:p>
        </w:tc>
        <w:tc>
          <w:tcPr/>
          <w:p>
            <w:pPr>
              <w:pStyle w:val="Compact"/>
              <w:jc w:val="left"/>
            </w:pPr>
            <w:r>
              <w:t xml:space="preserve">Prof. Olivia Keiser, 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c>
          <w:tcPr/>
          <w:p>
            <w:pPr>
              <w:pStyle w:val="Compact"/>
              <w:jc w:val="left"/>
            </w:pPr>
            <w:r>
              <w:t xml:space="preserve">Médecin cantonal and SIG</w:t>
            </w:r>
          </w:p>
        </w:tc>
        <w:tc>
          <w:tcPr/>
          <w:p>
            <w:pPr>
              <w:pStyle w:val="Compact"/>
            </w:pPr>
          </w:p>
        </w:tc>
        <w:tc>
          <w:tcPr/>
          <w:p>
            <w:pPr>
              <w:pStyle w:val="Compact"/>
              <w:jc w:val="left"/>
            </w:pPr>
            <w:r>
              <w:t xml:space="preserve">Legionellosis linked data</w:t>
            </w:r>
          </w:p>
        </w:tc>
        <w:tc>
          <w:tcPr/>
          <w:p>
            <w:pPr>
              <w:pStyle w:val="Compact"/>
              <w:jc w:val="left"/>
            </w:pPr>
            <w:r>
              <w:t xml:space="preserve">Secured, BASEC 2026-00324</w:t>
            </w:r>
          </w:p>
        </w:tc>
      </w:tr>
      <w:t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w:t>
      </w:r>
    </w:p>
    <w:tbl>
      <w:tblPr>
        <w:tblStyle w:val="Table"/>
        <w:tblW w:w="10546" w:type="dxa"/>
        <w:tblLook w:firstRow="1" w:lastRow="0" w:firstColumn="0" w:lastColumn="0" w:noHBand="0" w:noVBand="0" w:val="0020"/>
        <w:jc w:val="start"/>
        <w:tblLayout w:type="fixed"/>
      </w:tblPr>
      <w:tblGrid>
        <w:gridCol w:w="3965"/>
        <w:gridCol w:w="6581"/>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the open-data track runs without clinical records, and the retrospective decision analysis of WP4 does not depend on live deployment. The open-data track cannot replace the test on local service data, so access agreements remain a priority before the award.</w:t>
      </w:r>
    </w:p>
    <w:p>
      <w:pPr>
        <w:pStyle w:val="BodyText"/>
      </w:pPr>
      <w:r>
        <w:drawing>
          <wp:inline>
            <wp:extent cx="6640000" cy="3801400"/>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3801400"/>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700"/>
        <w:gridCol w:w="1560"/>
        <w:gridCol w:w="728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Pressure model passes the identifiability checks, or fallback chosen</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running, service series harmonised (or fallback)</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Main hypothesis tested by the forecast comparison</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Three crisis types analysed, dashboard running where authorised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forecasting benchmark, the library of evidence-derived inputs and the code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crisis types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I built the methods, the prototype and the data relationships that make this project feasible, mostly inside existing programmes. HEADSTART gives me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in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2026-10-14T19:57:34Z</dcterms:created>
  <dcterms:modified xsi:type="dcterms:W3CDTF">2026-10-14T19:57:34Z</dcterms:modified>
</cp:coreProperties>
</file>

<file path=docProps/custom.xml><?xml version="1.0" encoding="utf-8"?>
<Properties xmlns="http://schemas.openxmlformats.org/officeDocument/2006/custom-properties" xmlns:vt="http://schemas.openxmlformats.org/officeDocument/2006/docPropsVTypes"/>
</file>