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alert systems fail operationally when alarms are overwhelmingly non-actionable (72–99% in clinical monitoring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reported extraction errors [Shankar 2026]; whether they systematically shrink dispersion is what H1 tests, and if the loss is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a canton whose data ecosystem I already work in; generalisation is carried by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candidate hierarchy is activated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w:t>
      </w:r>
      <w:r>
        <w:t xml:space="preserve">that validates every component before operational data arrive and makes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a daily series reconstructed from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selection machinery runs in both arms, so the primary contrast tests the full evidence-informed configuration, not a particular model family; the library is deliberately broad for selection, not hypothesis multiplication, and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a registered fraction of this fixed value</w:t>
      </w:r>
      <w:r>
        <w:t xml:space="preserve">;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 automated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92160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92160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and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a daily observation-mode dashboard in the hands of the services that would use it. Extending that nucleus into a multi-crisis surveillance platform, archetype by archetype,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 none of the programmes below has this project's objective.</w:t>
      </w:r>
    </w:p>
    <w:tbl>
      <w:tblPr>
        <w:tblStyle w:val="Table"/>
        <w:tblW w:w="10546" w:type="dxa"/>
        <w:tblLook w:firstRow="1" w:lastRow="0" w:firstColumn="0" w:lastColumn="0" w:noHBand="0" w:noVBand="0" w:val="0020"/>
        <w:jc w:val="start"/>
        <w:tblLayout w:type="fixed"/>
      </w:tblPr>
      <w:tblGrid>
        <w:gridCol w:w="1988"/>
        <w:gridCol w:w="3972"/>
        <w:gridCol w:w="1560"/>
        <w:gridCol w:w="3026"/>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a validated answer, open resources the field can build on, and a first-author methodological record in my own name, the basis for group leadership or a professorship. My research time is currently split across four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2026-10-07T14:52:35Z</dcterms:created>
  <dcterms:modified xsi:type="dcterms:W3CDTF">2026-10-07T14:52:35Z</dcterms:modified>
</cp:coreProperties>
</file>

<file path=docProps/custom.xml><?xml version="1.0" encoding="utf-8"?>
<Properties xmlns="http://schemas.openxmlformats.org/officeDocument/2006/custom-properties" xmlns:vt="http://schemas.openxmlformats.org/officeDocument/2006/docPropsVTypes"/>
</file>