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COLDSTART: Anticipating and quantifying health-system crises before the outcome is observable</w:t>
      </w:r>
    </w:p>
    <w:p>
      <w:pPr>
        <w:pStyle w:val="BodyText"/>
      </w:pPr>
      <w:r>
        <w:t xml:space="preserve">SNSF Ambizione application (submission: 3 November 2026) · Applicant: Dr Erol Orel · Proposed</w:t>
      </w:r>
      <w:r>
        <w:t xml:space="preserve"> </w:t>
      </w:r>
      <w:r>
        <w:t xml:space="preserve">host: Institute of Global Health, Faculty of Medicine, University of Geneva (independent</w:t>
      </w:r>
      <w:r>
        <w:t xml:space="preserve"> </w:t>
      </w:r>
      <w:r>
        <w:t xml:space="preserve">research programme)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 That is the project’s central</w:t>
      </w:r>
      <w:r>
        <w:t xml:space="preserve"> </w:t>
      </w:r>
      <w:r>
        <w:t xml:space="preserve">question, posed falsifiably, from extraction all the way to a running, prospectively verified</w:t>
      </w:r>
      <w:r>
        <w:t xml:space="preserve"> </w:t>
      </w:r>
      <w:r>
        <w:t xml:space="preserve">system.</w:t>
      </w:r>
    </w:p>
    <w:bookmarkEnd w:id="20"/>
    <w:bookmarkStart w:id="21" w:name="where-the-project-comes-from"/>
    <w:p>
      <w:pPr>
        <w:pStyle w:val="Heading2"/>
      </w:pPr>
      <w:r>
        <w:t xml:space="preserve">Where the project comes from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LiteRev-Evidence</w:t>
      </w:r>
      <w:r>
        <w:t xml:space="preserve">, the prototype I developed at the Institute (federated search of the</w:t>
      </w:r>
      <w:r>
        <w:t xml:space="preserve"> </w:t>
      </w:r>
      <w:r>
        <w:t xml:space="preserve">open literature, screening, provenance-tracked extraction, pooling into parameter</w:t>
      </w:r>
      <w:r>
        <w:t xml:space="preserve"> </w:t>
      </w:r>
      <w:r>
        <w:t xml:space="preserve">distributions, automated fitting and ranking of candidate models), already walks this</w:t>
      </w:r>
      <w:r>
        <w:t xml:space="preserve"> </w:t>
      </w:r>
      <w:r>
        <w:t xml:space="preserve">pipeline; the project turns it into a validated instrument and puts it to the test.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GESICA</w:t>
      </w:r>
      <w:r>
        <w:t xml:space="preserve"> </w:t>
      </w:r>
      <w:r>
        <w:t xml:space="preserve">supplies the data cartography (a referenced inventory of 28 surveillance sources)</w:t>
      </w:r>
      <w:r>
        <w:t xml:space="preserve"> </w:t>
      </w:r>
      <w:r>
        <w:t xml:space="preserve">and the working relationships with HUG emergency medicine and the CASU-144 dispatch centre;</w:t>
      </w:r>
      <w:r>
        <w:t xml:space="preserve"> </w:t>
      </w:r>
      <w:r>
        <w:t xml:space="preserve">our joint systematic review of AI in prehospital emergency medicine (submitted 2026) shows</w:t>
      </w:r>
      <w:r>
        <w:t xml:space="preserve"> </w:t>
      </w:r>
      <w:r>
        <w:t xml:space="preserve">that forecasting is the most-addressed task and that uncertainty, transparency and</w:t>
      </w:r>
      <w:r>
        <w:t xml:space="preserve"> </w:t>
      </w:r>
      <w:r>
        <w:t xml:space="preserve">explainability are rarely treated.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Geneva legionellosis study</w:t>
      </w:r>
      <w:r>
        <w:t xml:space="preserve"> </w:t>
      </w:r>
      <w:r>
        <w:t xml:space="preserve">(BASEC 2026-00324, ethics granted), whose data work I</w:t>
      </w:r>
      <w:r>
        <w:t xml:space="preserve"> </w:t>
      </w:r>
      <w:r>
        <w:t xml:space="preserve">lead, supplies the contrasting extension archetype.</w:t>
      </w:r>
    </w:p>
    <w:bookmarkEnd w:id="21"/>
    <w:bookmarkStart w:id="22" w:name="X39a0c938b9e07e05f07b79a12007108639c825f"/>
    <w:p>
      <w:pPr>
        <w:pStyle w:val="Heading2"/>
      </w:pPr>
      <w:r>
        <w:t xml:space="preserve">What the project does (five strands, 48 months)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 parameters</w:t>
      </w:r>
      <w:r>
        <w:t xml:space="preserve"> </w:t>
      </w:r>
      <w:r>
        <w:t xml:space="preserve">from the literature (against a dual human-extraction benchmark) and correct the identified</w:t>
      </w:r>
      <w:r>
        <w:t xml:space="preserve"> </w:t>
      </w:r>
      <w:r>
        <w:t xml:space="preserve">biases; the literature also supplies explanatory variables, recommended model families and</w:t>
      </w:r>
      <w:r>
        <w:t xml:space="preserve"> </w:t>
      </w:r>
      <w:r>
        <w:t xml:space="preserve">outcome and threshold definitions, transported to the local setting.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Modelling</w:t>
      </w:r>
      <w:r>
        <w:t xml:space="preserve"> </w:t>
      </w:r>
      <w:r>
        <w:t xml:space="preserve">- represent the state of the care system as a</w:t>
      </w:r>
      <w:r>
        <w:t xml:space="preserve"> </w:t>
      </w:r>
      <w:r>
        <w:rPr>
          <w:bCs/>
          <w:b/>
        </w:rPr>
        <w:t xml:space="preserve">latent regime process</w:t>
      </w:r>
      <w:r>
        <w:t xml:space="preserve"> </w:t>
      </w:r>
      <w:r>
        <w:t xml:space="preserve">(routine / elevated / strained / critical) rather than a threshold applied to a point</w:t>
      </w:r>
      <w:r>
        <w:t xml:space="preserve"> </w:t>
      </w:r>
      <w:r>
        <w:t xml:space="preserve">forecast; epidemiological models (SEIR-type) enter only for epidemiological crises,</w:t>
      </w:r>
      <w:r>
        <w:t xml:space="preserve"> </w:t>
      </w:r>
      <w:r>
        <w:t xml:space="preserve">environmental crises being driven by exposure-response structures.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</w:t>
      </w:r>
      <w:r>
        <w:t xml:space="preserve"> </w:t>
      </w:r>
      <w:r>
        <w:rPr>
          <w:iCs/>
          <w:i/>
        </w:rPr>
        <w:t xml:space="preserve">and the</w:t>
      </w:r>
      <w:r>
        <w:rPr>
          <w:iCs/>
          <w:i/>
        </w:rPr>
        <w:t xml:space="preserve"> </w:t>
      </w:r>
      <w:r>
        <w:rPr>
          <w:iCs/>
          <w:i/>
        </w:rPr>
        <w:t xml:space="preserve">literature</w:t>
      </w:r>
      <w:r>
        <w:t xml:space="preserve"> </w:t>
      </w:r>
      <w:r>
        <w:t xml:space="preserve">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</w:t>
      </w:r>
      <w:r>
        <w:t xml:space="preserve"> </w:t>
      </w:r>
      <w:r>
        <w:rPr>
          <w:bCs/>
          <w:b/>
        </w:rPr>
        <w:t xml:space="preserve">decision benefit</w:t>
      </w:r>
      <w:r>
        <w:t xml:space="preserve">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 on every fit; daily literature</w:t>
      </w:r>
      <w:r>
        <w:t xml:space="preserve"> </w:t>
      </w:r>
      <w:r>
        <w:t xml:space="preserve">monitoring; at the end of the project, for validated event types and subject to</w:t>
      </w:r>
      <w:r>
        <w:t xml:space="preserve"> </w:t>
      </w:r>
      <w:r>
        <w:t xml:space="preserve">authorisation, a</w:t>
      </w:r>
      <w:r>
        <w:t xml:space="preserve"> </w:t>
      </w:r>
      <w:r>
        <w:rPr>
          <w:bCs/>
          <w:b/>
        </w:rPr>
        <w:t xml:space="preserve">daily observation-mode dashboard</w:t>
      </w:r>
      <w:r>
        <w:t xml:space="preserve">, recorded and evaluated prospectively</w:t>
      </w:r>
      <w:r>
        <w:t xml:space="preserve"> </w:t>
      </w:r>
      <w:r>
        <w:t xml:space="preserve">against observed outcomes, never decisional during the project.</w:t>
      </w:r>
    </w:p>
    <w:bookmarkEnd w:id="22"/>
    <w:bookmarkStart w:id="23" w:name="data-and-the-regulatory-route"/>
    <w:p>
      <w:pPr>
        <w:pStyle w:val="Heading2"/>
      </w:pPr>
      <w:r>
        <w:t xml:space="preserve">Data and the regulatory route</w:t>
      </w:r>
    </w:p>
    <w:p>
      <w:pPr>
        <w:pStyle w:val="FirstParagraph"/>
      </w:pPr>
      <w:r>
        <w:t xml:space="preserve">The project uses 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 </w:t>
      </w:r>
      <w:r>
        <w:t xml:space="preserve">(no identifiers,</w:t>
      </w:r>
      <w:r>
        <w:t xml:space="preserve"> </w:t>
      </w:r>
      <w:r>
        <w:t xml:space="preserve">no individual-level data, no free text). The scope is the canton of Geneva: CASU-144 dispatch</w:t>
      </w:r>
      <w:r>
        <w:t xml:space="preserve"> </w:t>
      </w:r>
      <w:r>
        <w:t xml:space="preserve">data as the primary outcome series, emergency-department presentations and ICU occupancy as</w:t>
      </w:r>
      <w:r>
        <w:t xml:space="preserve"> </w:t>
      </w:r>
      <w:r>
        <w:t xml:space="preserve">complementary channels, the cantonal physician and pharmacist and SIG for the environmental</w:t>
      </w:r>
      <w:r>
        <w:t xml:space="preserve"> </w:t>
      </w:r>
      <w:r>
        <w:t xml:space="preserve">strands. The 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</w:t>
      </w:r>
      <w:r>
        <w:t xml:space="preserve"> </w:t>
      </w:r>
      <w:r>
        <w:t xml:space="preserve">benchmark); feasibility therefore rests on no single agreement. Operational access would</w:t>
      </w:r>
      <w:r>
        <w:t xml:space="preserve"> </w:t>
      </w:r>
      <w:r>
        <w:t xml:space="preserve">follow the</w:t>
      </w:r>
      <w:r>
        <w:t xml:space="preserve"> </w:t>
      </w:r>
      <w:r>
        <w:rPr>
          <w:bCs/>
          <w:b/>
        </w:rPr>
        <w:t xml:space="preserve">official route: a CCER submission with me as applicant</w:t>
      </w:r>
      <w:r>
        <w:t xml:space="preserve">, preceded by</w:t>
      </w:r>
      <w:r>
        <w:t xml:space="preserve"> </w:t>
      </w:r>
      <w:r>
        <w:t xml:space="preserve">institutional data agreements prepared before month 1.</w:t>
      </w:r>
    </w:p>
    <w:bookmarkEnd w:id="23"/>
    <w:bookmarkStart w:id="24" w:name="hosting-and-independence"/>
    <w:p>
      <w:pPr>
        <w:pStyle w:val="Heading2"/>
      </w:pPr>
      <w:r>
        <w:t xml:space="preserve">Hosting and independence</w:t>
      </w:r>
    </w:p>
    <w:p>
      <w:pPr>
        <w:pStyle w:val="FirstParagraph"/>
      </w:pPr>
      <w:r>
        <w:t xml:space="preserve">The programme would run as an</w:t>
      </w:r>
      <w:r>
        <w:t xml:space="preserve"> </w:t>
      </w:r>
      <w:r>
        <w:rPr>
          <w:bCs/>
          <w:b/>
        </w:rPr>
        <w:t xml:space="preserve">independent research programme alongside the Institute of</w:t>
      </w:r>
      <w:r>
        <w:rPr>
          <w:bCs/>
          <w:b/>
        </w:rPr>
        <w:t xml:space="preserve"> </w:t>
      </w:r>
      <w:r>
        <w:rPr>
          <w:bCs/>
          <w:b/>
        </w:rPr>
        <w:t xml:space="preserve">Global Health’s groups</w:t>
      </w:r>
      <w:r>
        <w:t xml:space="preserve">, under the SNSF template guarantees (the applicant’s scientific</w:t>
      </w:r>
      <w:r>
        <w:t xml:space="preserve"> </w:t>
      </w:r>
      <w:r>
        <w:t xml:space="preserve">direction, selection and supervision of team members, budget authority, senior authorship),</w:t>
      </w:r>
      <w:r>
        <w:t xml:space="preserve"> </w:t>
      </w:r>
      <w:r>
        <w:t xml:space="preserve">with a methodological collaboration with DS4DH on the evidence-extraction work package.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financial implication for the partners</w:t>
      </w:r>
      <w:r>
        <w:t xml:space="preserve">: the SNSF covers the applicant’s salary and a project</w:t>
      </w:r>
      <w:r>
        <w:t xml:space="preserve"> </w:t>
      </w:r>
      <w:r>
        <w:t xml:space="preserve">budget (CHF 250,000 over 4 years; doctoral students and postdocs excluded under the 2026</w:t>
      </w:r>
      <w:r>
        <w:t xml:space="preserve"> </w:t>
      </w:r>
      <w:r>
        <w:t xml:space="preserve">rules). What remains afterwards: the validated open instruments (extraction benchmark, public</w:t>
      </w:r>
      <w:r>
        <w:t xml:space="preserve"> </w:t>
      </w:r>
      <w:r>
        <w:t xml:space="preserve">cold-start benchmark, evidence-to-prior library), the dashboard nucleus, and joint</w:t>
      </w:r>
      <w:r>
        <w:t xml:space="preserve"> </w:t>
      </w:r>
      <w:r>
        <w:t xml:space="preserve">publications.</w:t>
      </w:r>
    </w:p>
    <w:p>
      <w:pPr>
        <w:pStyle w:val="BodyText"/>
      </w:pPr>
      <w:r>
        <w:rPr>
          <w:bCs/>
          <w:b/>
        </w:rPr>
        <w:t xml:space="preserve">Timeline.</w:t>
      </w:r>
      <w:r>
        <w:t xml:space="preserve"> </w:t>
      </w:r>
      <w:r>
        <w:t xml:space="preserve">Submission: 3 November 2026 · Decision: August 2027 · Start: between September</w:t>
      </w:r>
      <w:r>
        <w:t xml:space="preserve"> </w:t>
      </w:r>
      <w:r>
        <w:t xml:space="preserve">2027 and September 2028.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2026-10-08T12:28:21Z</dcterms:created>
  <dcterms:modified xsi:type="dcterms:W3CDTF">2026-10-08T12:28:21Z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