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COLDSTART - Prévoir et quantifier les crises sanitaires quand les données locales manquent</w:t>
      </w:r>
    </w:p>
    <w:p>
      <w:pPr>
        <w:pStyle w:val="BodyText"/>
      </w:pPr>
      <w:r>
        <w:t xml:space="preserve">Candidature Ambizione FNS (dépôt : 3 novembre 2026) · Requérant : Dr Erol Orel · Hôte :</w:t>
      </w:r>
      <w:r>
        <w:t xml:space="preserve"> </w:t>
      </w:r>
      <w:r>
        <w:t xml:space="preserve">Institut de santé globale, Faculté de médecine, UNIGE (programme de recherche indépendant) ·</w:t>
      </w:r>
      <w:r>
        <w:t xml:space="preserve"> </w:t>
      </w:r>
      <w:r>
        <w:t xml:space="preserve">Durée : 4 ans</w:t>
      </w:r>
    </w:p>
    <w:bookmarkStart w:id="20" w:name="le-problème"/>
    <w:p>
      <w:pPr>
        <w:pStyle w:val="Heading2"/>
      </w:pPr>
      <w:r>
        <w:t xml:space="preserve">Le problème</w:t>
      </w:r>
    </w:p>
    <w:p>
      <w:pPr>
        <w:pStyle w:val="FirstParagraph"/>
      </w:pPr>
      <w:r>
        <w:t xml:space="preserve">Quand une crise sanitaire commence, les données locales nécessaires pour la prévoir n’existent</w:t>
      </w:r>
      <w:r>
        <w:t xml:space="preserve"> </w:t>
      </w:r>
      <w:r>
        <w:t xml:space="preserve">pas encore. Les modèles les plus performants exigent plusieurs années d’historique ; ils sont</w:t>
      </w:r>
      <w:r>
        <w:t xml:space="preserve"> </w:t>
      </w:r>
      <w:r>
        <w:t xml:space="preserve">donc les plus faibles exactement là où les décisions - armer des ambulances, ouvrir des lits,</w:t>
      </w:r>
      <w:r>
        <w:t xml:space="preserve"> </w:t>
      </w:r>
      <w:r>
        <w:t xml:space="preserve">déclencher une escalade - sont les plus coûteuses et les moins réversibles.</w:t>
      </w:r>
    </w:p>
    <w:p>
      <w:pPr>
        <w:pStyle w:val="BodyText"/>
      </w:pPr>
      <w:r>
        <w:t xml:space="preserve">Il existe pourtant une information quantitative disponible dès le premier jour : la littérature</w:t>
      </w:r>
      <w:r>
        <w:t xml:space="preserve"> </w:t>
      </w:r>
      <w:r>
        <w:t xml:space="preserve">publiée sur des événements analogues - associations météo–demande, amplitudes et délais de</w:t>
      </w:r>
      <w:r>
        <w:t xml:space="preserve"> </w:t>
      </w:r>
      <w:r>
        <w:t xml:space="preserve">surcharge, durées de séjour et occupation, paramètres de transmission. Elle n’est presque</w:t>
      </w:r>
      <w:r>
        <w:t xml:space="preserve"> </w:t>
      </w:r>
      <w:r>
        <w:t xml:space="preserve">jamais utilisée comme information a priori formelle, parce que personne n’a établi si le faire</w:t>
      </w:r>
      <w:r>
        <w:t xml:space="preserve"> </w:t>
      </w:r>
      <w:r>
        <w:t xml:space="preserve">aide ou nuit. C’est la question centrale du projet, posée de façon falsifiable, de</w:t>
      </w:r>
      <w:r>
        <w:t xml:space="preserve"> </w:t>
      </w:r>
      <w:r>
        <w:t xml:space="preserve">l’extraction jusqu’au système qui tourne et se vérifie.</w:t>
      </w:r>
    </w:p>
    <w:bookmarkEnd w:id="20"/>
    <w:bookmarkStart w:id="21" w:name="X5b06531e1038da216ce341653d087d3a047c2b3"/>
    <w:p>
      <w:pPr>
        <w:pStyle w:val="Heading2"/>
      </w:pPr>
      <w:r>
        <w:t xml:space="preserve">D’où vient le projet : la continuité avec GESICA</w:t>
      </w:r>
    </w:p>
    <w:p>
      <w:pPr>
        <w:pStyle w:val="FirstParagraph"/>
      </w:pPr>
      <w:r>
        <w:t xml:space="preserve">Le projet dérive en partie de notre travail commun dans GESICA, tout en s’en distinguant.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 revue systématique que nous avons co-signée</w:t>
      </w:r>
      <w:r>
        <w:t xml:space="preserve"> </w:t>
      </w:r>
      <w:r>
        <w:t xml:space="preserve">(intelligence artificielle en médecine</w:t>
      </w:r>
      <w:r>
        <w:t xml:space="preserve"> </w:t>
      </w:r>
      <w:r>
        <w:t xml:space="preserve">préhospitalière pour les catastrophes et urgences sanitaires, soumise en 2026) montre que la prévision est la tâche la plus abordée et que l’incertitude, la transparence</w:t>
      </w:r>
      <w:r>
        <w:t xml:space="preserve"> </w:t>
      </w:r>
      <w:r>
        <w:t xml:space="preserve">et l’explicabilité y sont rarement traitées. COLDSTART attaque précisément ces</w:t>
      </w:r>
      <w:r>
        <w:t xml:space="preserve"> </w:t>
      </w:r>
      <w:r>
        <w:t xml:space="preserve">manques.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L’inventaire GESICA des sources de données</w:t>
      </w:r>
      <w:r>
        <w:t xml:space="preserve"> </w:t>
      </w:r>
      <w:r>
        <w:t xml:space="preserve">(28 sources, infectieuses et non</w:t>
      </w:r>
      <w:r>
        <w:t xml:space="preserve"> </w:t>
      </w:r>
      <w:r>
        <w:t xml:space="preserve">infectieuses, sur GE–VD–NE) fournit la cartographie sur laquelle le protocole de données du</w:t>
      </w:r>
      <w:r>
        <w:t xml:space="preserve"> </w:t>
      </w:r>
      <w:r>
        <w:t xml:space="preserve">projet est construit.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 relation de travail est établie</w:t>
      </w:r>
      <w:r>
        <w:t xml:space="preserve"> </w:t>
      </w:r>
      <w:r>
        <w:t xml:space="preserve">: l’accès aux données de la centrale 144 existe déjà</w:t>
      </w:r>
      <w:r>
        <w:t xml:space="preserve"> </w:t>
      </w:r>
      <w:r>
        <w:t xml:space="preserve">dans le cadre de GESICA. COLDSTART est un projet distinct, avec sa propre question, son</w:t>
      </w:r>
      <w:r>
        <w:t xml:space="preserve"> </w:t>
      </w:r>
      <w:r>
        <w:t xml:space="preserve">propre requérant et sa propre base éthique ; il ne réutilise pas l’accès GESICA.</w:t>
      </w:r>
    </w:p>
    <w:bookmarkEnd w:id="21"/>
    <w:bookmarkStart w:id="22" w:name="X122ffb48666d44cac441283e7af41f8738e2df7"/>
    <w:p>
      <w:pPr>
        <w:pStyle w:val="Heading2"/>
      </w:pPr>
      <w:r>
        <w:t xml:space="preserve">Ce que le projet fait (cinq volets, 48 mois)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Extraction</w:t>
      </w:r>
      <w:r>
        <w:t xml:space="preserve"> </w:t>
      </w:r>
      <w:r>
        <w:t xml:space="preserve">- mesurer la fiabilité de l’extraction automatique de paramètres</w:t>
      </w:r>
      <w:r>
        <w:t xml:space="preserve"> </w:t>
      </w:r>
      <w:r>
        <w:t xml:space="preserve">quantitatifs depuis la littérature (contre un étalon en double extraction humaine), et</w:t>
      </w:r>
      <w:r>
        <w:t xml:space="preserve"> </w:t>
      </w:r>
      <w:r>
        <w:t xml:space="preserve">corriger les biais identifiés. Le projet s’appuie sur LiteRev-Evidence, le prototype que</w:t>
      </w:r>
      <w:r>
        <w:t xml:space="preserve"> </w:t>
      </w:r>
      <w:r>
        <w:t xml:space="preserve">j’ai développé (recherche fédérée dans la littérature ouverte, criblage,</w:t>
      </w:r>
      <w:r>
        <w:t xml:space="preserve"> </w:t>
      </w:r>
      <w:r>
        <w:t xml:space="preserve">extraction avec provenance), transformé en instrument validé. La littérature</w:t>
      </w:r>
      <w:r>
        <w:t xml:space="preserve"> </w:t>
      </w:r>
      <w:r>
        <w:t xml:space="preserve">fournit aussi les variables explicatives, les familles de modèles recommandées et les</w:t>
      </w:r>
      <w:r>
        <w:t xml:space="preserve"> </w:t>
      </w:r>
      <w:r>
        <w:t xml:space="preserve">définitions d’issues et de seuils, transposées au contexte local.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Modélisation</w:t>
      </w:r>
      <w:r>
        <w:t xml:space="preserve"> </w:t>
      </w:r>
      <w:r>
        <w:t xml:space="preserve">- représenter l’état du système de soins comme un</w:t>
      </w:r>
      <w:r>
        <w:t xml:space="preserve"> </w:t>
      </w:r>
      <w:r>
        <w:rPr>
          <w:bCs/>
          <w:b/>
        </w:rPr>
        <w:t xml:space="preserve">processus à régimes</w:t>
      </w:r>
      <w:r>
        <w:rPr>
          <w:bCs/>
          <w:b/>
        </w:rPr>
        <w:t xml:space="preserve"> </w:t>
      </w:r>
      <w:r>
        <w:rPr>
          <w:bCs/>
          <w:b/>
        </w:rPr>
        <w:t xml:space="preserve">latents</w:t>
      </w:r>
      <w:r>
        <w:t xml:space="preserve"> </w:t>
      </w:r>
      <w:r>
        <w:t xml:space="preserve">(habituel / tendu / sous tension / critique) plutôt que comme un seuil appliqué à</w:t>
      </w:r>
      <w:r>
        <w:t xml:space="preserve"> </w:t>
      </w:r>
      <w:r>
        <w:t xml:space="preserve">une prévision ponctuelle, avec une modélisation explicite de la queue de distribution pour</w:t>
      </w:r>
      <w:r>
        <w:t xml:space="preserve"> </w:t>
      </w:r>
      <w:r>
        <w:t xml:space="preserve">l’état critique. Les ancrages provisoires des états sont des percentiles de la demande</w:t>
      </w:r>
      <w:r>
        <w:t xml:space="preserve"> </w:t>
      </w:r>
      <w:r>
        <w:t xml:space="preserve">saisonnière et des indicateurs de capacité ; leur interprétation décisionnelle est précisée avec les équipes de terrain. Les</w:t>
      </w:r>
      <w:r>
        <w:t xml:space="preserve"> </w:t>
      </w:r>
      <w:r>
        <w:t xml:space="preserve">modèles épidémiologiques (type SEIR) n’interviennent que pour les crises épidémiologiques ; les crises environnementales relèvent de structures exposition–réponse.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Évaluation</w:t>
      </w:r>
      <w:r>
        <w:t xml:space="preserve"> </w:t>
      </w:r>
      <w:r>
        <w:t xml:space="preserve">- tester, épisode historique par épisode historique, si les a priori issus</w:t>
      </w:r>
      <w:r>
        <w:t xml:space="preserve"> </w:t>
      </w:r>
      <w:r>
        <w:t xml:space="preserve">de la littérature améliorent la prévision en début de crise, en n’utilisant à chaque</w:t>
      </w:r>
      <w:r>
        <w:t xml:space="preserve"> </w:t>
      </w:r>
      <w:r>
        <w:t xml:space="preserve">instant que les données</w:t>
      </w:r>
      <w:r>
        <w:t xml:space="preserve"> </w:t>
      </w:r>
      <w:r>
        <w:rPr>
          <w:iCs/>
          <w:i/>
        </w:rPr>
        <w:t xml:space="preserve">et la littérature</w:t>
      </w:r>
      <w:r>
        <w:t xml:space="preserve"> </w:t>
      </w:r>
      <w:r>
        <w:t xml:space="preserve">disponibles à cette date, contre des</w:t>
      </w:r>
      <w:r>
        <w:t xml:space="preserve"> </w:t>
      </w:r>
      <w:r>
        <w:t xml:space="preserve">références établies, avec sélection automatisée du meilleur modèle selon des règles</w:t>
      </w:r>
      <w:r>
        <w:t xml:space="preserve"> </w:t>
      </w:r>
      <w:r>
        <w:t xml:space="preserve">pré-enregistrées.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Décision</w:t>
      </w:r>
      <w:r>
        <w:t xml:space="preserve"> </w:t>
      </w:r>
      <w:r>
        <w:t xml:space="preserve">- évaluer non pas la précision statistique mais</w:t>
      </w:r>
      <w:r>
        <w:t xml:space="preserve"> </w:t>
      </w:r>
      <w:r>
        <w:rPr>
          <w:bCs/>
          <w:b/>
        </w:rPr>
        <w:t xml:space="preserve">le bénéfice décisionnel</w:t>
      </w:r>
      <w:r>
        <w:t xml:space="preserve">,</w:t>
      </w:r>
      <w:r>
        <w:t xml:space="preserve"> </w:t>
      </w:r>
      <w:r>
        <w:t xml:space="preserve">à partir de seuils d’escalade recueillis de façon structurée (protocole SHELF) auprès de</w:t>
      </w:r>
      <w:r>
        <w:t xml:space="preserve"> </w:t>
      </w:r>
      <w:r>
        <w:t xml:space="preserve">celles et ceux qui agissent dessus : régulateurs, urgentistes, gestion des capacités.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Automatisation et veille</w:t>
      </w:r>
      <w:r>
        <w:t xml:space="preserve"> </w:t>
      </w:r>
      <w:r>
        <w:t xml:space="preserve">- données publiques connectées automatiquement ; modèles</w:t>
      </w:r>
      <w:r>
        <w:t xml:space="preserve"> </w:t>
      </w:r>
      <w:r>
        <w:t xml:space="preserve">relancés à la cadence de chaque variable ; hypothèses statistiques vérifiées ; algorithmes</w:t>
      </w:r>
      <w:r>
        <w:t xml:space="preserve"> </w:t>
      </w:r>
      <w:r>
        <w:t xml:space="preserve">comparés sur des métriques établies ; veille quotidienne de la littérature signalant toute</w:t>
      </w:r>
      <w:r>
        <w:t xml:space="preserve"> </w:t>
      </w:r>
      <w:r>
        <w:t xml:space="preserve">évidence qui modifierait un paramètre, une variable, un seuil ou le modèle recommandé</w:t>
      </w:r>
      <w:r>
        <w:t xml:space="preserve"> </w:t>
      </w:r>
      <w:r>
        <w:t xml:space="preserve">(mises à jour selon des règles pré-enregistrées seulement).</w:t>
      </w:r>
    </w:p>
    <w:bookmarkEnd w:id="22"/>
    <w:bookmarkStart w:id="23" w:name="X95ca0b96e4e96780cd1cd59bdc0e033b23de96a"/>
    <w:p>
      <w:pPr>
        <w:pStyle w:val="Heading2"/>
      </w:pPr>
      <w:r>
        <w:t xml:space="preserve">Les données : ce qui serait demandé, et par quelle voie</w:t>
      </w:r>
    </w:p>
    <w:p>
      <w:pPr>
        <w:pStyle w:val="FirstParagraph"/>
      </w:pPr>
      <w:r>
        <w:rPr>
          <w:bCs/>
          <w:b/>
        </w:rPr>
        <w:t xml:space="preserve">Ce qui serait demandé.</w:t>
      </w:r>
      <w:r>
        <w:t xml:space="preserve"> </w:t>
      </w:r>
      <w:r>
        <w:t xml:space="preserve">Un</w:t>
      </w:r>
      <w:r>
        <w:t xml:space="preserve"> </w:t>
      </w:r>
      <w:r>
        <w:rPr>
          <w:bCs/>
          <w:b/>
        </w:rPr>
        <w:t xml:space="preserve">extrait rétrospectif agrégé au jour</w:t>
      </w:r>
      <w:r>
        <w:t xml:space="preserve"> </w:t>
      </w:r>
      <w:r>
        <w:t xml:space="preserve">: date, effectifs par</w:t>
      </w:r>
      <w:r>
        <w:t xml:space="preserve"> </w:t>
      </w:r>
      <w:r>
        <w:t xml:space="preserve">motif de recours et degré d’urgence (144), ou par catégorie de passage (urgences),</w:t>
      </w:r>
      <w:r>
        <w:t xml:space="preserve"> </w:t>
      </w:r>
      <w:r>
        <w:t xml:space="preserve">idéalement par classe d’âge large.</w:t>
      </w:r>
      <w:r>
        <w:t xml:space="preserve"> </w:t>
      </w:r>
      <w:r>
        <w:rPr>
          <w:bCs/>
          <w:b/>
        </w:rPr>
        <w:t xml:space="preserve">Aucun identifiant direct, aucune donnée</w:t>
      </w:r>
      <w:r>
        <w:rPr>
          <w:bCs/>
          <w:b/>
        </w:rPr>
        <w:t xml:space="preserve"> </w:t>
      </w:r>
      <w:r>
        <w:rPr>
          <w:bCs/>
          <w:b/>
        </w:rPr>
        <w:t xml:space="preserve">individuelle, aucun enregistrement vocal, aucun texte libre.</w:t>
      </w:r>
      <w:r>
        <w:t xml:space="preserve"> </w:t>
      </w:r>
      <w:r>
        <w:t xml:space="preserve">Les données de régulation du</w:t>
      </w:r>
      <w:r>
        <w:t xml:space="preserve"> </w:t>
      </w:r>
      <w:r>
        <w:t xml:space="preserve">144 constituent la</w:t>
      </w:r>
      <w:r>
        <w:t xml:space="preserve"> </w:t>
      </w:r>
      <w:r>
        <w:rPr>
          <w:bCs/>
          <w:b/>
        </w:rPr>
        <w:t xml:space="preserve">série d’issue principale</w:t>
      </w:r>
      <w:r>
        <w:t xml:space="preserve"> </w:t>
      </w:r>
      <w:r>
        <w:t xml:space="preserve">; le critère principal est la demande à motif</w:t>
      </w:r>
      <w:r>
        <w:t xml:space="preserve"> </w:t>
      </w:r>
      <w:r>
        <w:t xml:space="preserve">respiratoire, celui du volet canicule la demande à motifs sensibles à la chaleur</w:t>
      </w:r>
      <w:r>
        <w:t xml:space="preserve"> </w:t>
      </w:r>
      <w:r>
        <w:t xml:space="preserve">(déshydratation, rénal, psychiatrique) - d’où l’importance de catégories de motifs couvrant</w:t>
      </w:r>
      <w:r>
        <w:t xml:space="preserve"> </w:t>
      </w:r>
      <w:r>
        <w:t xml:space="preserve">les deux. Les passages aux urgences et l’occupation des soins intensifs sont des canaux complémentaires. Le périmètre est le canton de Genève au jour : un choix délibéré, appuyé sur l’écosystème</w:t>
      </w:r>
      <w:r>
        <w:t xml:space="preserve"> </w:t>
      </w:r>
      <w:r>
        <w:t xml:space="preserve">de données genevois.</w:t>
      </w:r>
    </w:p>
    <w:p>
      <w:pPr>
        <w:pStyle w:val="BodyText"/>
      </w:pPr>
      <w:r>
        <w:rPr>
          <w:bCs/>
          <w:b/>
        </w:rPr>
        <w:t xml:space="preserve">Par quelle voie.</w:t>
      </w:r>
      <w:r>
        <w:t xml:space="preserve"> </w:t>
      </w:r>
      <w:r>
        <w:t xml:space="preserve">Rien n’est demandé aujourd’hui en matière de données. Si le projet est</w:t>
      </w:r>
      <w:r>
        <w:t xml:space="preserve"> </w:t>
      </w:r>
      <w:r>
        <w:t xml:space="preserve">financé, l’accès passerait par la</w:t>
      </w:r>
      <w:r>
        <w:t xml:space="preserve"> </w:t>
      </w:r>
      <w:r>
        <w:rPr>
          <w:bCs/>
          <w:b/>
        </w:rPr>
        <w:t xml:space="preserve">voie officielle : une soumission à la CCER, avec moi comme</w:t>
      </w:r>
      <w:r>
        <w:rPr>
          <w:bCs/>
          <w:b/>
        </w:rPr>
        <w:t xml:space="preserve"> </w:t>
      </w:r>
      <w:r>
        <w:rPr>
          <w:bCs/>
          <w:b/>
        </w:rPr>
        <w:t xml:space="preserve">requérant</w:t>
      </w:r>
      <w:r>
        <w:t xml:space="preserve">, précédée des accords de données institutionnels nécessaires. Ce que j’espère de</w:t>
      </w:r>
      <w:r>
        <w:t xml:space="preserve"> </w:t>
      </w:r>
      <w:r>
        <w:t xml:space="preserve">votre part à ce stade est double : une</w:t>
      </w:r>
      <w:r>
        <w:t xml:space="preserve"> </w:t>
      </w:r>
      <w:r>
        <w:rPr>
          <w:bCs/>
          <w:b/>
        </w:rPr>
        <w:t xml:space="preserve">lettre de collaboration</w:t>
      </w:r>
      <w:r>
        <w:t xml:space="preserve"> </w:t>
      </w:r>
      <w:r>
        <w:t xml:space="preserve">pour le dossier FNS</w:t>
      </w:r>
      <w:r>
        <w:t xml:space="preserve"> </w:t>
      </w:r>
      <w:r>
        <w:t xml:space="preserve">(le FNS écarte les lettres de recommandation), et un</w:t>
      </w:r>
      <w:r>
        <w:t xml:space="preserve"> </w:t>
      </w:r>
      <w:r>
        <w:rPr>
          <w:bCs/>
          <w:b/>
        </w:rPr>
        <w:t xml:space="preserve">accord de principe</w:t>
      </w:r>
      <w:r>
        <w:t xml:space="preserve"> </w:t>
      </w:r>
      <w:r>
        <w:t xml:space="preserve">sur cette voie</w:t>
      </w:r>
      <w:r>
        <w:t xml:space="preserve"> </w:t>
      </w:r>
      <w:r>
        <w:t xml:space="preserve">officielle le moment venu.</w:t>
      </w:r>
      <w:r>
        <w:t xml:space="preserve"> </w:t>
      </w:r>
      <w:r>
        <w:t xml:space="preserve">Le dispositif est d’abord validé de bout en bout sur des</w:t>
      </w:r>
      <w:r>
        <w:t xml:space="preserve"> </w:t>
      </w:r>
      <w:r>
        <w:rPr>
          <w:bCs/>
          <w:b/>
        </w:rPr>
        <w:t xml:space="preserve">données publiques ouvertes</w:t>
      </w:r>
      <w:r>
        <w:t xml:space="preserve"> </w:t>
      </w:r>
      <w:r>
        <w:t xml:space="preserve">;</w:t>
      </w:r>
      <w:r>
        <w:t xml:space="preserve"> </w:t>
      </w:r>
      <w:r>
        <w:t xml:space="preserve">la faisabilité ne repose donc pas sur un seul accord, et ce sont vos séries qui transforment</w:t>
      </w:r>
      <w:r>
        <w:t xml:space="preserve"> </w:t>
      </w:r>
      <w:r>
        <w:t xml:space="preserve">un résultat méthodologique en résultat opérationnel.</w:t>
      </w:r>
    </w:p>
    <w:bookmarkEnd w:id="23"/>
    <w:bookmarkStart w:id="24" w:name="ce-que-vous-y-gagnez"/>
    <w:p>
      <w:pPr>
        <w:pStyle w:val="Heading2"/>
      </w:pPr>
      <w:r>
        <w:t xml:space="preserve">Ce que vous y gagnez</w:t>
      </w:r>
    </w:p>
    <w:p>
      <w:pPr>
        <w:numPr>
          <w:ilvl w:val="0"/>
          <w:numId w:val="1003"/>
        </w:numPr>
        <w:pStyle w:val="Compact"/>
      </w:pPr>
      <w:r>
        <w:t xml:space="preserve">Une évaluation indépendante et pré-enregistrée de la valeur réelle des prévisions précoces.</w:t>
      </w:r>
    </w:p>
    <w:p>
      <w:pPr>
        <w:numPr>
          <w:ilvl w:val="0"/>
          <w:numId w:val="1003"/>
        </w:numPr>
        <w:pStyle w:val="Compact"/>
      </w:pPr>
      <w:r>
        <w:t xml:space="preserve">Des seuils d’escalade explicités et documentés, construits avec vos équipes.</w:t>
      </w:r>
    </w:p>
    <w:p>
      <w:pPr>
        <w:numPr>
          <w:ilvl w:val="0"/>
          <w:numId w:val="1003"/>
        </w:numPr>
        <w:pStyle w:val="Compact"/>
      </w:pPr>
      <w:r>
        <w:t xml:space="preserve">Pour les types d’événements dont les modèles auront été validés, un</w:t>
      </w:r>
      <w:r>
        <w:t xml:space="preserve"> </w:t>
      </w:r>
      <w:r>
        <w:rPr>
          <w:bCs/>
          <w:b/>
        </w:rPr>
        <w:t xml:space="preserve">tableau de bord</w:t>
      </w:r>
      <w:r>
        <w:rPr>
          <w:bCs/>
          <w:b/>
        </w:rPr>
        <w:t xml:space="preserve"> </w:t>
      </w:r>
      <w:r>
        <w:rPr>
          <w:bCs/>
          <w:b/>
        </w:rPr>
        <w:t xml:space="preserve">quotidien en mode observation</w:t>
      </w:r>
      <w:r>
        <w:t xml:space="preserve"> </w:t>
      </w:r>
      <w:r>
        <w:t xml:space="preserve">pour vos équipes (régulation 144, urgences, soins</w:t>
      </w:r>
      <w:r>
        <w:t xml:space="preserve"> </w:t>
      </w:r>
      <w:r>
        <w:t xml:space="preserve">intensifs) : états et prévisions rafraîchis automatiquement, enregistrés et évalués</w:t>
      </w:r>
      <w:r>
        <w:t xml:space="preserve"> </w:t>
      </w:r>
      <w:r>
        <w:t xml:space="preserve">prospectivement, jamais décisionnels pendant le projet ; le noyau d’une future plateforme</w:t>
      </w:r>
      <w:r>
        <w:t xml:space="preserve"> </w:t>
      </w:r>
      <w:r>
        <w:t xml:space="preserve">de surveillance.</w:t>
      </w:r>
    </w:p>
    <w:p>
      <w:pPr>
        <w:numPr>
          <w:ilvl w:val="0"/>
          <w:numId w:val="1003"/>
        </w:numPr>
        <w:pStyle w:val="Compact"/>
      </w:pPr>
      <w:r>
        <w:t xml:space="preserve">Publications communes, dans la continuité de GESICA.</w:t>
      </w:r>
    </w:p>
    <w:p>
      <w:pPr>
        <w:pStyle w:val="FirstParagraph"/>
      </w:pPr>
      <w:r>
        <w:rPr>
          <w:bCs/>
          <w:b/>
        </w:rPr>
        <w:t xml:space="preserve">Calendrier.</w:t>
      </w:r>
      <w:r>
        <w:t xml:space="preserve"> </w:t>
      </w:r>
      <w:r>
        <w:t xml:space="preserve">Dépôt : 3 novembre 2026 · Décision : août 2027 · Début : 2027-2028 ·</w:t>
      </w:r>
      <w:r>
        <w:t xml:space="preserve"> </w:t>
      </w:r>
      <w:r>
        <w:t xml:space="preserve">Lettre de collaboration souhaitée d’ici la mi-octobre 2026.</w:t>
      </w:r>
    </w:p>
    <w:bookmarkEnd w:id="24"/>
    <w:sectPr>
      <w:pgSz w:h="16838" w:w="11906"/>
      <w:pgMar w:top="760" w:right="880" w:bottom="760" w:left="880" w:header="708" w:footer="70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6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pPr>
      <w:spacing w:after="60" w:before="120"/>
      <w:jc w:val="both"/>
    </w:pPr>
    <w:qFormat/>
  </w:style>
  <w:style w:customStyle="1" w:styleId="FirstParagraph" w:type="paragraph">
    <w:name w:val="First Paragraph"/>
    <w:basedOn w:val="BodyText"/>
    <w:next w:val="BodyText"/>
    <w:qFormat/>
    <w:pPr>
      <w:jc w:val="both"/>
    </w:pPr>
  </w:style>
  <w:style w:customStyle="1" w:styleId="Compact" w:type="paragraph">
    <w:name w:val="Compact"/>
    <w:basedOn w:val="BodyText"/>
    <w:qFormat/>
    <w:pPr>
      <w:spacing w:after="36" w:before="36"/>
      <w:jc w:val="both"/>
    </w:pPr>
  </w:style>
  <w:style w:styleId="Title" w:type="paragraph">
    <w:name w:val="Title"/>
    <w:basedOn w:val="Normal"/>
    <w:next w:val="BodyText"/>
    <w:qFormat/>
    <w:pPr>
      <w:keepNext/>
      <w:keepLines/>
      <w:spacing w:after="60" w:before="12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60" w:before="12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12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6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12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12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12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12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12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12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12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12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12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6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12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2026-10-08T12:31:25Z</dcterms:created>
  <dcterms:modified xsi:type="dcterms:W3CDTF">2026-10-08T12:31:25Z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