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1c8ad992c9ad349ca6d5b2b596ebf857163e40"/>
    <w:p>
      <w:pPr>
        <w:pStyle w:val="Heading1"/>
      </w:pPr>
      <w:r>
        <w:t xml:space="preserve">Budget for mySNF (Ambizione 2026), working version of 20 October 2026, third pass</w:t>
      </w:r>
    </w:p>
    <w:p>
      <w:pPr>
        <w:pStyle w:val="FirstParagraph"/>
      </w:pPr>
      <w:r>
        <w:t xml:space="preserve">Two things are entered in mySNF. The applicant’s salary, which the grant pays separately, and the</w:t>
      </w:r>
      <w:r>
        <w:t xml:space="preserve"> </w:t>
      </w:r>
      <w:r>
        <w:t xml:space="preserve">project funds, capped at CHF 250,000 over four years including social charges. The budget is</w:t>
      </w:r>
      <w:r>
        <w:t xml:space="preserve"> </w:t>
      </w:r>
      <w:r>
        <w:t xml:space="preserve">line by line and frozen at submission. Each category has a</w:t>
      </w:r>
      <w:r>
        <w:t xml:space="preserve"> </w:t>
      </w:r>
      <w:r>
        <w:t xml:space="preserve">“</w:t>
      </w:r>
      <w:r>
        <w:t xml:space="preserve">remarques</w:t>
      </w:r>
      <w:r>
        <w:t xml:space="preserve">”</w:t>
      </w:r>
      <w:r>
        <w:t xml:space="preserve"> </w:t>
      </w:r>
      <w:r>
        <w:t xml:space="preserve">box, and the RGO advises</w:t>
      </w:r>
      <w:r>
        <w:t xml:space="preserve"> </w:t>
      </w:r>
      <w:r>
        <w:t xml:space="preserve">to justify every amount there and to point to the plan sections (2.3.3 workplan, 2.4 resources,</w:t>
      </w:r>
      <w:r>
        <w:t xml:space="preserve"> </w:t>
      </w:r>
      <w:r>
        <w:t xml:space="preserve">2.5 schedule). Open-access publication costs are not eligible here (separate mechanism).</w:t>
      </w:r>
    </w:p>
    <w:p>
      <w:pPr>
        <w:pStyle w:val="BodyText"/>
      </w:pPr>
      <w:r>
        <w:t xml:space="preserve">Support staff are ARE only (auxiliaires de recherche et d’enseignement), as the RGO indicated on</w:t>
      </w:r>
      <w:r>
        <w:t xml:space="preserve"> </w:t>
      </w:r>
      <w:r>
        <w:t xml:space="preserve">14 Oct and as the plan’s table in 2.3.3 already says (</w:t>
      </w:r>
      <w:r>
        <w:t xml:space="preserve">“</w:t>
      </w:r>
      <w:r>
        <w:t xml:space="preserve">Research assistants, master’s students,</w:t>
      </w:r>
      <w:r>
        <w:t xml:space="preserve"> </w:t>
      </w:r>
      <w:r>
        <w:t xml:space="preserve">at most 40%</w:t>
      </w:r>
      <w:r>
        <w:t xml:space="preserve">”</w:t>
      </w:r>
      <w:r>
        <w:t xml:space="preserve">). An ARE is a student enrolled in a bachelor or a master, without a master’s degree</w:t>
      </w:r>
      <w:r>
        <w:t xml:space="preserve"> </w:t>
      </w:r>
      <w:r>
        <w:t xml:space="preserve">at hiring, paid at class 6 annuity 0 of the Geneva scale. The class-17 collaborator considered</w:t>
      </w:r>
      <w:r>
        <w:t xml:space="preserve"> </w:t>
      </w:r>
      <w:r>
        <w:t xml:space="preserve">earlier on 20 Oct is dropped (applicant, 20 Oct,</w:t>
      </w:r>
      <w:r>
        <w:t xml:space="preserve"> </w:t>
      </w:r>
      <w:r>
        <w:t xml:space="preserve">“</w:t>
      </w:r>
      <w:r>
        <w:t xml:space="preserve">I was wrong</w:t>
      </w:r>
      <w:r>
        <w:t xml:space="preserve">”</w:t>
      </w:r>
      <w:r>
        <w:t xml:space="preserve">).</w:t>
      </w:r>
    </w:p>
    <w:p>
      <w:pPr>
        <w:pStyle w:val="BodyText"/>
      </w:pPr>
      <w:r>
        <w:t xml:space="preserve">Figures marked (assumed) are planning assumptions to confirm with the RGO. Social charges are</w:t>
      </w:r>
      <w:r>
        <w:t xml:space="preserve"> </w:t>
      </w:r>
      <w:r>
        <w:t xml:space="preserve">23% in Geneva and mySNF adds them automatically. They are shown here so that the total can be</w:t>
      </w:r>
      <w:r>
        <w:t xml:space="preserve"> </w:t>
      </w:r>
      <w:r>
        <w:t xml:space="preserve">checked against the cap.</w:t>
      </w:r>
    </w:p>
    <w:bookmarkStart w:id="23" w:name="applicant-salary"/>
    <w:p>
      <w:pPr>
        <w:pStyle w:val="Heading2"/>
      </w:pPr>
      <w:r>
        <w:t xml:space="preserve">1. Applicant salary</w:t>
      </w:r>
    </w:p>
    <w:bookmarkStart w:id="20" w:name="what-is-known"/>
    <w:p>
      <w:pPr>
        <w:pStyle w:val="Heading3"/>
      </w:pPr>
      <w:r>
        <w:t xml:space="preserve">What is known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w:t>
            </w:r>
          </w:p>
        </w:tc>
        <w:tc>
          <w:tcPr/>
          <w:p>
            <w:pPr>
              <w:pStyle w:val="Compact"/>
              <w:jc w:val="left"/>
            </w:pPr>
            <w:r>
              <w:t xml:space="preserve">Source</w:t>
            </w:r>
          </w:p>
        </w:tc>
      </w:tr>
      <w:tr>
        <w:tc>
          <w:tcPr/>
          <w:p>
            <w:pPr>
              <w:pStyle w:val="Compact"/>
              <w:jc w:val="left"/>
            </w:pPr>
            <w:r>
              <w:t xml:space="preserve">Current function adjoint scientifique, class 19, annuity 9 in 2026</w:t>
            </w:r>
          </w:p>
        </w:tc>
        <w:tc>
          <w:tcPr/>
          <w:p>
            <w:pPr>
              <w:pStyle w:val="Compact"/>
              <w:jc w:val="left"/>
            </w:pPr>
            <w:r>
              <w:t xml:space="preserve">Applicant</w:t>
            </w:r>
          </w:p>
        </w:tc>
      </w:tr>
      <w:tr>
        <w:tc>
          <w:tcPr/>
          <w:p>
            <w:pPr>
              <w:pStyle w:val="Compact"/>
              <w:jc w:val="left"/>
            </w:pPr>
            <w:r>
              <w:t xml:space="preserve">Annuities suspended in 2026 (no annuity paid, no indexation)</w:t>
            </w:r>
          </w:p>
        </w:tc>
        <w:tc>
          <w:tcPr/>
          <w:p>
            <w:pPr>
              <w:pStyle w:val="Compact"/>
              <w:jc w:val="left"/>
            </w:pPr>
            <w:r>
              <w:t xml:space="preserve">Office du personnel de l’Etat, conditions 2026</w:t>
            </w:r>
          </w:p>
        </w:tc>
      </w:tr>
      <w:tr>
        <w:tc>
          <w:tcPr/>
          <w:p>
            <w:pPr>
              <w:pStyle w:val="Compact"/>
              <w:jc w:val="left"/>
            </w:pPr>
            <w:r>
              <w:t xml:space="preserve">The Conseil d’Etat decided on 17 Sept 2026 to grant the annuity in 2027, without indexation. The 2027 budget still has to pass the Grand Conseil, the 2026 one never did</w:t>
            </w:r>
          </w:p>
        </w:tc>
        <w:tc>
          <w:tcPr/>
          <w:p>
            <w:pPr>
              <w:pStyle w:val="Compact"/>
              <w:jc w:val="left"/>
            </w:pPr>
            <w:r>
              <w:t xml:space="preserve">Press release on the 2027 draft budget</w:t>
            </w:r>
          </w:p>
        </w:tc>
      </w:tr>
      <w:tr>
        <w:tc>
          <w:tcPr/>
          <w:p>
            <w:pPr>
              <w:pStyle w:val="Compact"/>
              <w:jc w:val="left"/>
            </w:pPr>
            <w:r>
              <w:t xml:space="preserve">Ambizione grantees at UNIGE are collaborateur/trice scientifique II, class 19</w:t>
            </w:r>
          </w:p>
        </w:tc>
        <w:tc>
          <w:tcPr/>
          <w:p>
            <w:pPr>
              <w:pStyle w:val="Compact"/>
              <w:jc w:val="left"/>
            </w:pPr>
            <w:r>
              <w:t xml:space="preserve">RGO, 13 Oct</w:t>
            </w:r>
          </w:p>
        </w:tc>
      </w:tr>
      <w:tr>
        <w:tc>
          <w:tcPr/>
          <w:p>
            <w:pPr>
              <w:pStyle w:val="Compact"/>
              <w:jc w:val="left"/>
            </w:pPr>
            <w:r>
              <w:t xml:space="preserve">Class 19 scale 2026 from the RGO table. 19/12 CHF 131,330, 19/13 132,379, 19/14 133,428, 19/15 134,477, one annuity = CHF 1,049 at this level</w:t>
            </w:r>
          </w:p>
        </w:tc>
        <w:tc>
          <w:tcPr/>
          <w:p>
            <w:pPr>
              <w:pStyle w:val="Compact"/>
              <w:jc w:val="left"/>
            </w:pPr>
            <w:r>
              <w:t xml:space="preserve">RGO, 13 Oct</w:t>
            </w:r>
          </w:p>
        </w:tc>
      </w:tr>
      <w:tr>
        <w:tc>
          <w:tcPr/>
          <w:p>
            <w:pPr>
              <w:pStyle w:val="Compact"/>
              <w:jc w:val="left"/>
            </w:pPr>
            <w:r>
              <w:t xml:space="preserve">Class 19 in 2019 ran from CHF 101,376 (annuity 0) to 137,068 (annuity 22)</w:t>
            </w:r>
          </w:p>
        </w:tc>
        <w:tc>
          <w:tcPr/>
          <w:p>
            <w:pPr>
              <w:pStyle w:val="Compact"/>
              <w:jc w:val="left"/>
            </w:pPr>
            <w:r>
              <w:t xml:space="preserve">Grand Conseil written answer, 2019</w:t>
            </w:r>
          </w:p>
        </w:tc>
      </w:tr>
    </w:tbl>
    <w:bookmarkEnd w:id="20"/>
    <w:bookmarkStart w:id="21" w:name="X973cb2c88cc5eb2b444ab8260780c344da616d3"/>
    <w:p>
      <w:pPr>
        <w:pStyle w:val="Heading3"/>
      </w:pPr>
      <w:r>
        <w:t xml:space="preserve">Reasoning on the annuity at the start, September 2027</w:t>
      </w:r>
    </w:p>
    <w:p>
      <w:pPr>
        <w:numPr>
          <w:ilvl w:val="0"/>
          <w:numId w:val="1001"/>
        </w:numPr>
        <w:pStyle w:val="Compact"/>
      </w:pPr>
      <w:r>
        <w:t xml:space="preserve">If the 2027 budget passes with the annuity, the applicant moves from 19/9 to 19/10 on</w:t>
      </w:r>
      <w:r>
        <w:t xml:space="preserve"> </w:t>
      </w:r>
      <w:r>
        <w:t xml:space="preserve">1 January 2027. If the State runs on twelfths again, he stays at 19/9.</w:t>
      </w:r>
    </w:p>
    <w:p>
      <w:pPr>
        <w:numPr>
          <w:ilvl w:val="0"/>
          <w:numId w:val="1001"/>
        </w:numPr>
        <w:pStyle w:val="Compact"/>
      </w:pPr>
      <w:r>
        <w:t xml:space="preserve">The change of function to collaborateur scientifique II is within class 19. The acquired</w:t>
      </w:r>
      <w:r>
        <w:t xml:space="preserve"> </w:t>
      </w:r>
      <w:r>
        <w:t xml:space="preserve">salary is protected on a change of function inside the State and the University, so the</w:t>
      </w:r>
      <w:r>
        <w:t xml:space="preserve"> </w:t>
      </w:r>
      <w:r>
        <w:t xml:space="preserve">entry annuity cannot be below the current one.</w:t>
      </w:r>
    </w:p>
    <w:p>
      <w:pPr>
        <w:numPr>
          <w:ilvl w:val="0"/>
          <w:numId w:val="1001"/>
        </w:numPr>
        <w:pStyle w:val="Compact"/>
      </w:pPr>
      <w:r>
        <w:t xml:space="preserve">At appointment, UNIGE may recognise post-doctoral experience. The RGO’s own estimate (19/12</w:t>
      </w:r>
      <w:r>
        <w:t xml:space="preserve"> </w:t>
      </w:r>
      <w:r>
        <w:t xml:space="preserve">in year 1) suggests she applied that. HR decides, it cannot be settled here.</w:t>
      </w:r>
    </w:p>
    <w:p>
      <w:pPr>
        <w:numPr>
          <w:ilvl w:val="0"/>
          <w:numId w:val="1001"/>
        </w:numPr>
        <w:pStyle w:val="Compact"/>
      </w:pPr>
      <w:r>
        <w:t xml:space="preserve">The amounts below annuity 12 are extrapolated with the top step of 1,049. The scale’s early</w:t>
      </w:r>
      <w:r>
        <w:t xml:space="preserve"> </w:t>
      </w:r>
      <w:r>
        <w:t xml:space="preserve">steps are larger, so these figures slightly overstate 19/9 to 19/11. mySNF corrects at award.</w:t>
      </w:r>
    </w:p>
    <w:bookmarkEnd w:id="21"/>
    <w:bookmarkStart w:id="22" w:name="Xa3fdcab5e8ef775489faabcb17c0ef6d547f515"/>
    <w:p>
      <w:pPr>
        <w:pStyle w:val="Heading3"/>
      </w:pPr>
      <w:r>
        <w:t xml:space="preserve">Entry chosen by the applicant (20 Oct): 19/9 at the start, cautious reading</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Scenario</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c>
          <w:tcPr/>
          <w:p>
            <w:pPr>
              <w:pStyle w:val="Compact"/>
              <w:jc w:val="right"/>
            </w:pPr>
            <w:r>
              <w:t xml:space="preserve">Y4</w:t>
            </w:r>
          </w:p>
        </w:tc>
        <w:tc>
          <w:tcPr/>
          <w:p>
            <w:pPr>
              <w:pStyle w:val="Compact"/>
              <w:jc w:val="right"/>
            </w:pPr>
            <w:r>
              <w:t xml:space="preserve">Average to enter</w:t>
            </w:r>
          </w:p>
        </w:tc>
      </w:tr>
      <w:tr>
        <w:tc>
          <w:tcPr/>
          <w:p>
            <w:pPr>
              <w:pStyle w:val="Compact"/>
              <w:jc w:val="left"/>
            </w:pPr>
            <w:r>
              <w:t xml:space="preserve">Applicant’s choice, 19/9 at start, no annuity assumed for 2027</w:t>
            </w:r>
          </w:p>
        </w:tc>
        <w:tc>
          <w:tcPr/>
          <w:p>
            <w:pPr>
              <w:pStyle w:val="Compact"/>
              <w:jc w:val="right"/>
            </w:pPr>
            <w:r>
              <w:t xml:space="preserve">128,183</w:t>
            </w:r>
          </w:p>
        </w:tc>
        <w:tc>
          <w:tcPr/>
          <w:p>
            <w:pPr>
              <w:pStyle w:val="Compact"/>
              <w:jc w:val="right"/>
            </w:pPr>
            <w:r>
              <w:t xml:space="preserve">129,232</w:t>
            </w:r>
          </w:p>
        </w:tc>
        <w:tc>
          <w:tcPr/>
          <w:p>
            <w:pPr>
              <w:pStyle w:val="Compact"/>
              <w:jc w:val="right"/>
            </w:pPr>
            <w:r>
              <w:t xml:space="preserve">130,281</w:t>
            </w:r>
          </w:p>
        </w:tc>
        <w:tc>
          <w:tcPr/>
          <w:p>
            <w:pPr>
              <w:pStyle w:val="Compact"/>
              <w:jc w:val="right"/>
            </w:pPr>
            <w:r>
              <w:t xml:space="preserve">131,330</w:t>
            </w:r>
          </w:p>
        </w:tc>
        <w:tc>
          <w:tcPr/>
          <w:p>
            <w:pPr>
              <w:pStyle w:val="Compact"/>
              <w:jc w:val="right"/>
            </w:pPr>
            <w:r>
              <w:t xml:space="preserve">129,757</w:t>
            </w:r>
          </w:p>
        </w:tc>
      </w:tr>
      <w:tr>
        <w:tc>
          <w:tcPr/>
          <w:p>
            <w:pPr>
              <w:pStyle w:val="Compact"/>
              <w:jc w:val="left"/>
            </w:pPr>
            <w:r>
              <w:t xml:space="preserve">For reference, 19/10 at start</w:t>
            </w:r>
          </w:p>
        </w:tc>
        <w:tc>
          <w:tcPr/>
          <w:p>
            <w:pPr>
              <w:pStyle w:val="Compact"/>
              <w:jc w:val="right"/>
            </w:pPr>
            <w:r>
              <w:t xml:space="preserve">129,232</w:t>
            </w:r>
          </w:p>
        </w:tc>
        <w:tc>
          <w:tcPr/>
          <w:p>
            <w:pPr>
              <w:pStyle w:val="Compact"/>
              <w:jc w:val="right"/>
            </w:pPr>
            <w:r>
              <w:t xml:space="preserve">130,281</w:t>
            </w:r>
          </w:p>
        </w:tc>
        <w:tc>
          <w:tcPr/>
          <w:p>
            <w:pPr>
              <w:pStyle w:val="Compact"/>
              <w:jc w:val="right"/>
            </w:pPr>
            <w:r>
              <w:t xml:space="preserve">131,330</w:t>
            </w:r>
          </w:p>
        </w:tc>
        <w:tc>
          <w:tcPr/>
          <w:p>
            <w:pPr>
              <w:pStyle w:val="Compact"/>
              <w:jc w:val="right"/>
            </w:pPr>
            <w:r>
              <w:t xml:space="preserve">132,379</w:t>
            </w:r>
          </w:p>
        </w:tc>
        <w:tc>
          <w:tcPr/>
          <w:p>
            <w:pPr>
              <w:pStyle w:val="Compact"/>
              <w:jc w:val="right"/>
            </w:pPr>
            <w:r>
              <w:t xml:space="preserve">130,806</w:t>
            </w:r>
          </w:p>
        </w:tc>
      </w:tr>
      <w:tr>
        <w:tc>
          <w:tcPr/>
          <w:p>
            <w:pPr>
              <w:pStyle w:val="Compact"/>
              <w:jc w:val="left"/>
            </w:pPr>
            <w:r>
              <w:t xml:space="preserve">For reference, RGO table, 19/12 at start</w:t>
            </w:r>
          </w:p>
        </w:tc>
        <w:tc>
          <w:tcPr/>
          <w:p>
            <w:pPr>
              <w:pStyle w:val="Compact"/>
              <w:jc w:val="right"/>
            </w:pPr>
            <w:r>
              <w:t xml:space="preserve">131,330</w:t>
            </w:r>
          </w:p>
        </w:tc>
        <w:tc>
          <w:tcPr/>
          <w:p>
            <w:pPr>
              <w:pStyle w:val="Compact"/>
              <w:jc w:val="right"/>
            </w:pPr>
            <w:r>
              <w:t xml:space="preserve">132,379</w:t>
            </w:r>
          </w:p>
        </w:tc>
        <w:tc>
          <w:tcPr/>
          <w:p>
            <w:pPr>
              <w:pStyle w:val="Compact"/>
              <w:jc w:val="right"/>
            </w:pPr>
            <w:r>
              <w:t xml:space="preserve">133,428</w:t>
            </w:r>
          </w:p>
        </w:tc>
        <w:tc>
          <w:tcPr/>
          <w:p>
            <w:pPr>
              <w:pStyle w:val="Compact"/>
              <w:jc w:val="right"/>
            </w:pPr>
            <w:r>
              <w:t xml:space="preserve">134,477</w:t>
            </w:r>
          </w:p>
        </w:tc>
        <w:tc>
          <w:tcPr/>
          <w:p>
            <w:pPr>
              <w:pStyle w:val="Compact"/>
              <w:jc w:val="right"/>
            </w:pPr>
            <w:r>
              <w:t xml:space="preserve">132,904</w:t>
            </w:r>
          </w:p>
        </w:tc>
      </w:tr>
    </w:tbl>
    <w:p>
      <w:pPr>
        <w:pStyle w:val="BodyText"/>
      </w:pPr>
      <w:r>
        <w:t xml:space="preserve">Enter CHF 129,757 as the average, or the four yearly figures if mySNF asks year by year. mySNF</w:t>
      </w:r>
      <w:r>
        <w:t xml:space="preserve"> </w:t>
      </w:r>
      <w:r>
        <w:t xml:space="preserve">adds the 23% charges itself, about CHF 159,600 per year all-in. HR confirms the exact amount at</w:t>
      </w:r>
      <w:r>
        <w:t xml:space="preserve"> </w:t>
      </w:r>
      <w:r>
        <w:t xml:space="preserve">award and it can only be higher.</w:t>
      </w:r>
    </w:p>
    <w:bookmarkEnd w:id="22"/>
    <w:bookmarkEnd w:id="23"/>
    <w:bookmarkStart w:id="28" w:name="Xc0a5f142442e88d3d328a3956f694b908eb3cb0"/>
    <w:p>
      <w:pPr>
        <w:pStyle w:val="Heading2"/>
      </w:pPr>
      <w:r>
        <w:t xml:space="preserve">2. Project funds, cap CHF 250,000 including charges</w:t>
      </w:r>
    </w:p>
    <w:bookmarkStart w:id="24" w:name="rates-assumed-to-confirm-with-the-rgo"/>
    <w:p>
      <w:pPr>
        <w:pStyle w:val="Heading3"/>
      </w:pPr>
      <w:r>
        <w:t xml:space="preserve">Rates (assumed, to confirm with the RGO)</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Item</w:t>
            </w:r>
          </w:p>
        </w:tc>
        <w:tc>
          <w:tcPr/>
          <w:p>
            <w:pPr>
              <w:pStyle w:val="Compact"/>
              <w:jc w:val="right"/>
            </w:pPr>
            <w:r>
              <w:t xml:space="preserve">Value</w:t>
            </w:r>
          </w:p>
        </w:tc>
        <w:tc>
          <w:tcPr/>
          <w:p>
            <w:pPr>
              <w:pStyle w:val="Compact"/>
              <w:jc w:val="left"/>
            </w:pPr>
            <w:r>
              <w:t xml:space="preserve">Basis</w:t>
            </w:r>
          </w:p>
        </w:tc>
      </w:tr>
      <w:tr>
        <w:tc>
          <w:tcPr/>
          <w:p>
            <w:pPr>
              <w:pStyle w:val="Compact"/>
              <w:jc w:val="left"/>
            </w:pPr>
            <w:r>
              <w:t xml:space="preserve">ARE, class 6 annuity 0, gross per month at 10%</w:t>
            </w:r>
          </w:p>
        </w:tc>
        <w:tc>
          <w:tcPr/>
          <w:p>
            <w:pPr>
              <w:pStyle w:val="Compact"/>
              <w:jc w:val="right"/>
            </w:pPr>
            <w:r>
              <w:t xml:space="preserve">CHF 455</w:t>
            </w:r>
          </w:p>
        </w:tc>
        <w:tc>
          <w:tcPr/>
          <w:p>
            <w:pPr>
              <w:pStyle w:val="Compact"/>
              <w:jc w:val="left"/>
            </w:pPr>
            <w:r>
              <w:t xml:space="preserve">UNIGE ARE postings 2026-2027</w:t>
            </w:r>
          </w:p>
        </w:tc>
      </w:tr>
      <w:tr>
        <w:tc>
          <w:tcPr/>
          <w:p>
            <w:pPr>
              <w:pStyle w:val="Compact"/>
              <w:jc w:val="left"/>
            </w:pPr>
            <w:r>
              <w:t xml:space="preserve">ARE at 40%, gross per month</w:t>
            </w:r>
          </w:p>
        </w:tc>
        <w:tc>
          <w:tcPr/>
          <w:p>
            <w:pPr>
              <w:pStyle w:val="Compact"/>
              <w:jc w:val="right"/>
            </w:pPr>
            <w:r>
              <w:t xml:space="preserve">CHF 1,820</w:t>
            </w:r>
          </w:p>
        </w:tc>
        <w:tc>
          <w:tcPr/>
          <w:p>
            <w:pPr>
              <w:pStyle w:val="Compact"/>
              <w:jc w:val="left"/>
            </w:pPr>
            <w:r>
              <w:t xml:space="preserve">Four times the 10% figure, about 16 hours a week</w:t>
            </w:r>
          </w:p>
        </w:tc>
      </w:tr>
      <w:tr>
        <w:tc>
          <w:tcPr/>
          <w:p>
            <w:pPr>
              <w:pStyle w:val="Compact"/>
              <w:jc w:val="left"/>
            </w:pPr>
            <w:r>
              <w:t xml:space="preserve">Employer charges</w:t>
            </w:r>
          </w:p>
        </w:tc>
        <w:tc>
          <w:tcPr/>
          <w:p>
            <w:pPr>
              <w:pStyle w:val="Compact"/>
              <w:jc w:val="right"/>
            </w:pPr>
            <w:r>
              <w:t xml:space="preserve">23%</w:t>
            </w:r>
          </w:p>
        </w:tc>
        <w:tc>
          <w:tcPr/>
          <w:p>
            <w:pPr>
              <w:pStyle w:val="Compact"/>
              <w:jc w:val="left"/>
            </w:pPr>
            <w:r>
              <w:t xml:space="preserve">RGO</w:t>
            </w:r>
          </w:p>
        </w:tc>
      </w:tr>
    </w:tbl>
    <w:p>
      <w:pPr>
        <w:pStyle w:val="BodyText"/>
      </w:pPr>
      <w:r>
        <w:t xml:space="preserve">ARE mandates run by academic year, usually 8 to 12 months, and a student who completes the</w:t>
      </w:r>
      <w:r>
        <w:t xml:space="preserve"> </w:t>
      </w:r>
      <w:r>
        <w:t xml:space="preserve">master’s leaves the scheme. The two lines below are therefore filled by successive students,</w:t>
      </w:r>
      <w:r>
        <w:t xml:space="preserve"> </w:t>
      </w:r>
      <w:r>
        <w:t xml:space="preserve">each recruited for a defined block of work, which also matches how the plan’s tasks are cut.</w:t>
      </w:r>
    </w:p>
    <w:bookmarkEnd w:id="24"/>
    <w:bookmarkStart w:id="25" w:name="staff-the-applicants-two-are-lines"/>
    <w:p>
      <w:pPr>
        <w:pStyle w:val="Heading3"/>
      </w:pPr>
      <w:r>
        <w:t xml:space="preserve">Staff, the applicant’s two ARE lines</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Line</w:t>
            </w:r>
          </w:p>
        </w:tc>
        <w:tc>
          <w:tcPr/>
          <w:p>
            <w:pPr>
              <w:pStyle w:val="Compact"/>
              <w:jc w:val="right"/>
            </w:pPr>
            <w:r>
              <w:t xml:space="preserve">Months</w:t>
            </w:r>
          </w:p>
        </w:tc>
        <w:tc>
          <w:tcPr/>
          <w:p>
            <w:pPr>
              <w:pStyle w:val="Compact"/>
              <w:jc w:val="right"/>
            </w:pPr>
            <w:r>
              <w:t xml:space="preserve">Gross</w:t>
            </w:r>
          </w:p>
        </w:tc>
        <w:tc>
          <w:tcPr/>
          <w:p>
            <w:pPr>
              <w:pStyle w:val="Compact"/>
              <w:jc w:val="right"/>
            </w:pPr>
            <w:r>
              <w:t xml:space="preserve">With 23% charges</w:t>
            </w:r>
          </w:p>
        </w:tc>
      </w:tr>
      <w:tr>
        <w:tc>
          <w:tcPr/>
          <w:p>
            <w:pPr>
              <w:pStyle w:val="Compact"/>
              <w:jc w:val="left"/>
            </w:pPr>
            <w:r>
              <w:t xml:space="preserve">ARE 1, 40%, M1 to M48. Data handling, context feeds, the replay and evaluation pipeline, dashboard runs, reproducibility of the code</w:t>
            </w:r>
          </w:p>
        </w:tc>
        <w:tc>
          <w:tcPr/>
          <w:p>
            <w:pPr>
              <w:pStyle w:val="Compact"/>
              <w:jc w:val="right"/>
            </w:pPr>
            <w:r>
              <w:t xml:space="preserve">48</w:t>
            </w:r>
          </w:p>
        </w:tc>
        <w:tc>
          <w:tcPr/>
          <w:p>
            <w:pPr>
              <w:pStyle w:val="Compact"/>
              <w:jc w:val="right"/>
            </w:pPr>
            <w:r>
              <w:t xml:space="preserve">87,360</w:t>
            </w:r>
          </w:p>
        </w:tc>
        <w:tc>
          <w:tcPr/>
          <w:p>
            <w:pPr>
              <w:pStyle w:val="Compact"/>
              <w:jc w:val="right"/>
            </w:pPr>
            <w:r>
              <w:t xml:space="preserve">107,453</w:t>
            </w:r>
          </w:p>
        </w:tc>
      </w:tr>
      <w:tr>
        <w:tc>
          <w:tcPr/>
          <w:p>
            <w:pPr>
              <w:pStyle w:val="Compact"/>
              <w:jc w:val="left"/>
            </w:pPr>
            <w:r>
              <w:t xml:space="preserve">ARE 2, 40%, M3 to M38. Second extractor of the T1.2 benchmark (M3 to M9), then the manual checks of the extraction, the episode inventory and the evaluation support of the respiratory and heat tests</w:t>
            </w:r>
          </w:p>
        </w:tc>
        <w:tc>
          <w:tcPr/>
          <w:p>
            <w:pPr>
              <w:pStyle w:val="Compact"/>
              <w:jc w:val="right"/>
            </w:pPr>
            <w:r>
              <w:t xml:space="preserve">36</w:t>
            </w:r>
          </w:p>
        </w:tc>
        <w:tc>
          <w:tcPr/>
          <w:p>
            <w:pPr>
              <w:pStyle w:val="Compact"/>
              <w:jc w:val="right"/>
            </w:pPr>
            <w:r>
              <w:t xml:space="preserve">65,520</w:t>
            </w:r>
          </w:p>
        </w:tc>
        <w:tc>
          <w:tcPr/>
          <w:p>
            <w:pPr>
              <w:pStyle w:val="Compact"/>
              <w:jc w:val="right"/>
            </w:pPr>
            <w:r>
              <w:t xml:space="preserve">80,590</w:t>
            </w:r>
          </w:p>
        </w:tc>
      </w:tr>
      <w:tr>
        <w:tc>
          <w:tcPr/>
          <w:p>
            <w:pPr>
              <w:pStyle w:val="Compact"/>
              <w:jc w:val="left"/>
            </w:pPr>
            <w:r>
              <w:t xml:space="preserve">Staff total</w:t>
            </w:r>
          </w:p>
        </w:tc>
        <w:tc>
          <w:tcPr/>
          <w:p>
            <w:pPr>
              <w:pStyle w:val="Compact"/>
            </w:pPr>
          </w:p>
        </w:tc>
        <w:tc>
          <w:tcPr/>
          <w:p>
            <w:pPr>
              <w:pStyle w:val="Compact"/>
            </w:pPr>
          </w:p>
        </w:tc>
        <w:tc>
          <w:tcPr/>
          <w:p>
            <w:pPr>
              <w:pStyle w:val="Compact"/>
              <w:jc w:val="right"/>
            </w:pPr>
            <w:r>
              <w:t xml:space="preserve">188,042</w:t>
            </w:r>
          </w:p>
        </w:tc>
      </w:tr>
    </w:tbl>
    <w:bookmarkEnd w:id="25"/>
    <w:bookmarkStart w:id="26" w:name="all-other-expenses"/>
    <w:p>
      <w:pPr>
        <w:pStyle w:val="Heading3"/>
      </w:pPr>
      <w:r>
        <w:t xml:space="preserve">All other expenses</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Category in mySNF</w:t>
            </w:r>
          </w:p>
        </w:tc>
        <w:tc>
          <w:tcPr/>
          <w:p>
            <w:pPr>
              <w:pStyle w:val="Compact"/>
              <w:jc w:val="left"/>
            </w:pPr>
            <w:r>
              <w:t xml:space="preserve">Content</w:t>
            </w:r>
          </w:p>
        </w:tc>
        <w:tc>
          <w:tcPr/>
          <w:p>
            <w:pPr>
              <w:pStyle w:val="Compact"/>
              <w:jc w:val="right"/>
            </w:pPr>
            <w:r>
              <w:t xml:space="preserve">CHF</w:t>
            </w:r>
          </w:p>
        </w:tc>
      </w:tr>
      <w:tr>
        <w:tc>
          <w:tcPr/>
          <w:p>
            <w:pPr>
              <w:pStyle w:val="Compact"/>
              <w:jc w:val="left"/>
            </w:pPr>
            <w:r>
              <w:t xml:space="preserve">Travel, conferences</w:t>
            </w:r>
          </w:p>
        </w:tc>
        <w:tc>
          <w:tcPr/>
          <w:p>
            <w:pPr>
              <w:pStyle w:val="Compact"/>
              <w:jc w:val="left"/>
            </w:pPr>
            <w:r>
              <w:t xml:space="preserve">8 European conferences at 2,000 (fee, travel, three nights) and 1 overseas at 4,000</w:t>
            </w:r>
          </w:p>
        </w:tc>
        <w:tc>
          <w:tcPr/>
          <w:p>
            <w:pPr>
              <w:pStyle w:val="Compact"/>
              <w:jc w:val="right"/>
            </w:pPr>
            <w:r>
              <w:t xml:space="preserve">20,000</w:t>
            </w:r>
          </w:p>
        </w:tc>
      </w:tr>
      <w:tr>
        <w:tc>
          <w:tcPr/>
          <w:p>
            <w:pPr>
              <w:pStyle w:val="Compact"/>
              <w:jc w:val="left"/>
            </w:pPr>
            <w:r>
              <w:t xml:space="preserve">Travel, mobility</w:t>
            </w:r>
          </w:p>
        </w:tc>
        <w:tc>
          <w:tcPr/>
          <w:p>
            <w:pPr>
              <w:pStyle w:val="Compact"/>
              <w:jc w:val="left"/>
            </w:pPr>
            <w:r>
              <w:t xml:space="preserve">Two short stays of one to two weeks with forecasting groups abroad, at 3,500</w:t>
            </w:r>
          </w:p>
        </w:tc>
        <w:tc>
          <w:tcPr/>
          <w:p>
            <w:pPr>
              <w:pStyle w:val="Compact"/>
              <w:jc w:val="right"/>
            </w:pPr>
            <w:r>
              <w:t xml:space="preserve">7,000</w:t>
            </w:r>
          </w:p>
        </w:tc>
      </w:tr>
      <w:tr>
        <w:tc>
          <w:tcPr/>
          <w:p>
            <w:pPr>
              <w:pStyle w:val="Compact"/>
              <w:jc w:val="left"/>
            </w:pPr>
            <w:r>
              <w:t xml:space="preserve">Travel, incoming</w:t>
            </w:r>
          </w:p>
        </w:tc>
        <w:tc>
          <w:tcPr/>
          <w:p>
            <w:pPr>
              <w:pStyle w:val="Compact"/>
              <w:jc w:val="left"/>
            </w:pPr>
            <w:r>
              <w:t xml:space="preserve">Two visiting researchers hosted in Geneva, at 1,500</w:t>
            </w:r>
          </w:p>
        </w:tc>
        <w:tc>
          <w:tcPr/>
          <w:p>
            <w:pPr>
              <w:pStyle w:val="Compact"/>
              <w:jc w:val="right"/>
            </w:pPr>
            <w:r>
              <w:t xml:space="preserve">3,000</w:t>
            </w:r>
          </w:p>
        </w:tc>
      </w:tr>
      <w:tr>
        <w:tc>
          <w:tcPr/>
          <w:p>
            <w:pPr>
              <w:pStyle w:val="Compact"/>
              <w:jc w:val="left"/>
            </w:pPr>
            <w:r>
              <w:t xml:space="preserve">Workshops</w:t>
            </w:r>
          </w:p>
        </w:tc>
        <w:tc>
          <w:tcPr/>
          <w:p>
            <w:pPr>
              <w:pStyle w:val="Compact"/>
              <w:jc w:val="left"/>
            </w:pPr>
            <w:r>
              <w:t xml:space="preserve">Elicitation workshop with the emergency services (WP4) and a final results briefing, at 1,500</w:t>
            </w:r>
          </w:p>
        </w:tc>
        <w:tc>
          <w:tcPr/>
          <w:p>
            <w:pPr>
              <w:pStyle w:val="Compact"/>
              <w:jc w:val="right"/>
            </w:pPr>
            <w:r>
              <w:t xml:space="preserve">3,000</w:t>
            </w:r>
          </w:p>
        </w:tc>
      </w:tr>
      <w:tr>
        <w:tc>
          <w:tcPr/>
          <w:p>
            <w:pPr>
              <w:pStyle w:val="Compact"/>
              <w:jc w:val="left"/>
            </w:pPr>
            <w:r>
              <w:t xml:space="preserve">IT services, database</w:t>
            </w:r>
          </w:p>
        </w:tc>
        <w:tc>
          <w:tcPr/>
          <w:p>
            <w:pPr>
              <w:pStyle w:val="Compact"/>
              <w:jc w:val="left"/>
            </w:pPr>
            <w:r>
              <w:t xml:space="preserve">Project database set-up and secure-environment runs with UNIGE IT, about ten developer days at 1,000 plus hosting</w:t>
            </w:r>
          </w:p>
        </w:tc>
        <w:tc>
          <w:tcPr/>
          <w:p>
            <w:pPr>
              <w:pStyle w:val="Compact"/>
              <w:jc w:val="right"/>
            </w:pPr>
            <w:r>
              <w:t xml:space="preserve">12,000</w:t>
            </w:r>
          </w:p>
        </w:tc>
      </w:tr>
      <w:tr>
        <w:tc>
          <w:tcPr/>
          <w:p>
            <w:pPr>
              <w:pStyle w:val="Compact"/>
              <w:jc w:val="left"/>
            </w:pPr>
            <w:r>
              <w:t xml:space="preserve">IT services, dashboard</w:t>
            </w:r>
          </w:p>
        </w:tc>
        <w:tc>
          <w:tcPr/>
          <w:p>
            <w:pPr>
              <w:pStyle w:val="Compact"/>
              <w:jc w:val="left"/>
            </w:pPr>
            <w:r>
              <w:t xml:space="preserve">Small hosted instance for the daily observation-mode dashboard, two years at 1,200</w:t>
            </w:r>
          </w:p>
        </w:tc>
        <w:tc>
          <w:tcPr/>
          <w:p>
            <w:pPr>
              <w:pStyle w:val="Compact"/>
              <w:jc w:val="right"/>
            </w:pPr>
            <w:r>
              <w:t xml:space="preserve">2,400</w:t>
            </w:r>
          </w:p>
        </w:tc>
      </w:tr>
      <w:tr>
        <w:tc>
          <w:tcPr/>
          <w:p>
            <w:pPr>
              <w:pStyle w:val="Compact"/>
              <w:jc w:val="left"/>
            </w:pPr>
            <w:r>
              <w:t xml:space="preserve">Open research data</w:t>
            </w:r>
          </w:p>
        </w:tc>
        <w:tc>
          <w:tcPr/>
          <w:p>
            <w:pPr>
              <w:pStyle w:val="Compact"/>
              <w:jc w:val="left"/>
            </w:pPr>
            <w:r>
              <w:t xml:space="preserve">Deposit and curation of the extraction benchmark, the code and the evaluation outputs</w:t>
            </w:r>
          </w:p>
        </w:tc>
        <w:tc>
          <w:tcPr/>
          <w:p>
            <w:pPr>
              <w:pStyle w:val="Compact"/>
              <w:jc w:val="right"/>
            </w:pPr>
            <w:r>
              <w:t xml:space="preserve">2,000</w:t>
            </w:r>
          </w:p>
        </w:tc>
      </w:tr>
      <w:tr>
        <w:tc>
          <w:tcPr/>
          <w:p>
            <w:pPr>
              <w:pStyle w:val="Compact"/>
              <w:jc w:val="left"/>
            </w:pPr>
            <w:r>
              <w:t xml:space="preserve">Data access</w:t>
            </w:r>
          </w:p>
        </w:tc>
        <w:tc>
          <w:tcPr/>
          <w:p>
            <w:pPr>
              <w:pStyle w:val="Compact"/>
              <w:jc w:val="left"/>
            </w:pPr>
            <w:r>
              <w:t xml:space="preserve">HUG data-office extraction and preparation of the emergency series (to confirm, may be zero)</w:t>
            </w:r>
          </w:p>
        </w:tc>
        <w:tc>
          <w:tcPr/>
          <w:p>
            <w:pPr>
              <w:pStyle w:val="Compact"/>
              <w:jc w:val="right"/>
            </w:pPr>
            <w:r>
              <w:t xml:space="preserve">5,000</w:t>
            </w:r>
          </w:p>
        </w:tc>
      </w:tr>
      <w:tr>
        <w:tc>
          <w:tcPr/>
          <w:p>
            <w:pPr>
              <w:pStyle w:val="Compact"/>
              <w:jc w:val="left"/>
            </w:pPr>
            <w:r>
              <w:t xml:space="preserve">Regulatory fees</w:t>
            </w:r>
          </w:p>
        </w:tc>
        <w:tc>
          <w:tcPr/>
          <w:p>
            <w:pPr>
              <w:pStyle w:val="Compact"/>
              <w:jc w:val="left"/>
            </w:pPr>
            <w:r>
              <w:t xml:space="preserve">Ethics commission fees for the Art. 34 LRH authorisation or clarification</w:t>
            </w:r>
          </w:p>
        </w:tc>
        <w:tc>
          <w:tcPr/>
          <w:p>
            <w:pPr>
              <w:pStyle w:val="Compact"/>
              <w:jc w:val="right"/>
            </w:pPr>
            <w:r>
              <w:t xml:space="preserve">2,500</w:t>
            </w:r>
          </w:p>
        </w:tc>
      </w:tr>
      <w:tr>
        <w:tc>
          <w:tcPr/>
          <w:p>
            <w:pPr>
              <w:pStyle w:val="Compact"/>
              <w:jc w:val="left"/>
            </w:pPr>
            <w:r>
              <w:t xml:space="preserve">Other expenses total</w:t>
            </w:r>
          </w:p>
        </w:tc>
        <w:tc>
          <w:tcPr/>
          <w:p>
            <w:pPr>
              <w:pStyle w:val="Compact"/>
            </w:pPr>
          </w:p>
        </w:tc>
        <w:tc>
          <w:tcPr/>
          <w:p>
            <w:pPr>
              <w:pStyle w:val="Compact"/>
              <w:jc w:val="right"/>
            </w:pPr>
            <w:r>
              <w:t xml:space="preserve">56,900</w:t>
            </w:r>
          </w:p>
        </w:tc>
      </w:tr>
    </w:tbl>
    <w:p>
      <w:pPr>
        <w:pStyle w:val="BodyText"/>
      </w:pPr>
      <w:r>
        <w:t xml:space="preserve">Not budgeted, by rule or because the host provides them. Open-access fees (separate SNSF</w:t>
      </w:r>
      <w:r>
        <w:t xml:space="preserve"> </w:t>
      </w:r>
      <w:r>
        <w:t xml:space="preserve">mechanism), computing on the UNIGE HPC (free for UNIGE researchers), laptops and ordinary</w:t>
      </w:r>
      <w:r>
        <w:t xml:space="preserve"> </w:t>
      </w:r>
      <w:r>
        <w:t xml:space="preserve">software, GESICA and GeoAI4EI meeting travel (covered by the consortia, to confirm).</w:t>
      </w:r>
    </w:p>
    <w:bookmarkEnd w:id="26"/>
    <w:bookmarkStart w:id="27" w:name="total-against-the-cap"/>
    <w:p>
      <w:pPr>
        <w:pStyle w:val="Heading3"/>
      </w:pPr>
      <w:r>
        <w:t xml:space="preserve">Total against the cap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CHF</w:t>
            </w:r>
          </w:p>
        </w:tc>
      </w:tr>
      <w:tr>
        <w:tc>
          <w:tcPr/>
          <w:p>
            <w:pPr>
              <w:pStyle w:val="Compact"/>
              <w:jc w:val="left"/>
            </w:pPr>
            <w:r>
              <w:t xml:space="preserve">Staff, two ARE lines</w:t>
            </w:r>
          </w:p>
        </w:tc>
        <w:tc>
          <w:tcPr/>
          <w:p>
            <w:pPr>
              <w:pStyle w:val="Compact"/>
              <w:jc w:val="right"/>
            </w:pPr>
            <w:r>
              <w:t xml:space="preserve">188,042</w:t>
            </w:r>
          </w:p>
        </w:tc>
      </w:tr>
      <w:tr>
        <w:tc>
          <w:tcPr/>
          <w:p>
            <w:pPr>
              <w:pStyle w:val="Compact"/>
              <w:jc w:val="left"/>
            </w:pPr>
            <w:r>
              <w:t xml:space="preserve">All other expenses</w:t>
            </w:r>
          </w:p>
        </w:tc>
        <w:tc>
          <w:tcPr/>
          <w:p>
            <w:pPr>
              <w:pStyle w:val="Compact"/>
              <w:jc w:val="right"/>
            </w:pPr>
            <w:r>
              <w:t xml:space="preserve">56,900</w:t>
            </w:r>
          </w:p>
        </w:tc>
      </w:tr>
      <w:tr>
        <w:tc>
          <w:tcPr/>
          <w:p>
            <w:pPr>
              <w:pStyle w:val="Compact"/>
              <w:jc w:val="left"/>
            </w:pPr>
            <w:r>
              <w:t xml:space="preserve">Total</w:t>
            </w:r>
          </w:p>
        </w:tc>
        <w:tc>
          <w:tcPr/>
          <w:p>
            <w:pPr>
              <w:pStyle w:val="Compact"/>
              <w:jc w:val="right"/>
            </w:pPr>
            <w:r>
              <w:t xml:space="preserve">244,942</w:t>
            </w:r>
          </w:p>
        </w:tc>
      </w:tr>
      <w:tr>
        <w:tc>
          <w:tcPr/>
          <w:p>
            <w:pPr>
              <w:pStyle w:val="Compact"/>
              <w:jc w:val="left"/>
            </w:pPr>
            <w:r>
              <w:t xml:space="preserve">Headroom under CHF 250,000</w:t>
            </w:r>
          </w:p>
        </w:tc>
        <w:tc>
          <w:tcPr/>
          <w:p>
            <w:pPr>
              <w:pStyle w:val="Compact"/>
              <w:jc w:val="right"/>
            </w:pPr>
            <w:r>
              <w:t xml:space="preserve">5,058</w:t>
            </w:r>
          </w:p>
        </w:tc>
      </w:tr>
    </w:tbl>
    <w:p>
      <w:pPr>
        <w:pStyle w:val="BodyText"/>
      </w:pPr>
      <w:r>
        <w:t xml:space="preserve">Adjustment rule. If the ARE rate the RGO gives is higher than CHF 455 per month at 10%, each</w:t>
      </w:r>
      <w:r>
        <w:t xml:space="preserve"> </w:t>
      </w:r>
      <w:r>
        <w:t xml:space="preserve">CHF 25 more per month at 10% adds about 10,300 to the staff total over the 84 ARE-months. Cut in this order. The HUG fee line</w:t>
      </w:r>
      <w:r>
        <w:t xml:space="preserve"> </w:t>
      </w:r>
      <w:r>
        <w:t xml:space="preserve">if the HUG confirms no fee (5,000), the overseas conference (4,000), one short stay (3,500).</w:t>
      </w:r>
      <w:r>
        <w:t xml:space="preserve"> </w:t>
      </w:r>
      <w:r>
        <w:t xml:space="preserve">If the rate is lower, extend ARE 2 to M44 (about 13,400 for six months).</w:t>
      </w:r>
    </w:p>
    <w:p>
      <w:pPr>
        <w:pStyle w:val="BodyText"/>
      </w:pPr>
      <w:r>
        <w:t xml:space="preserve">Alternatives considered and set aside.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Option</w:t>
            </w:r>
          </w:p>
        </w:tc>
        <w:tc>
          <w:tcPr/>
          <w:p>
            <w:pPr>
              <w:pStyle w:val="Compact"/>
              <w:jc w:val="right"/>
            </w:pPr>
            <w:r>
              <w:t xml:space="preserve">Total</w:t>
            </w:r>
          </w:p>
        </w:tc>
        <w:tc>
          <w:tcPr/>
          <w:p>
            <w:pPr>
              <w:pStyle w:val="Compact"/>
              <w:jc w:val="left"/>
            </w:pPr>
            <w:r>
              <w:t xml:space="preserve">Why not</w:t>
            </w:r>
          </w:p>
        </w:tc>
      </w:tr>
      <w:tr>
        <w:tc>
          <w:tcPr/>
          <w:p>
            <w:pPr>
              <w:pStyle w:val="Compact"/>
              <w:jc w:val="left"/>
            </w:pPr>
            <w:r>
              <w:t xml:space="preserve">Two ARE at 40% for 48 months each</w:t>
            </w:r>
          </w:p>
        </w:tc>
        <w:tc>
          <w:tcPr/>
          <w:p>
            <w:pPr>
              <w:pStyle w:val="Compact"/>
              <w:jc w:val="right"/>
            </w:pPr>
            <w:r>
              <w:t xml:space="preserve">271,806</w:t>
            </w:r>
          </w:p>
        </w:tc>
        <w:tc>
          <w:tcPr/>
          <w:p>
            <w:pPr>
              <w:pStyle w:val="Compact"/>
              <w:jc w:val="left"/>
            </w:pPr>
            <w:r>
              <w:t xml:space="preserve">Over the cap by about 21,800</w:t>
            </w:r>
          </w:p>
        </w:tc>
      </w:tr>
      <w:tr>
        <w:tc>
          <w:tcPr/>
          <w:p>
            <w:pPr>
              <w:pStyle w:val="Compact"/>
              <w:jc w:val="left"/>
            </w:pPr>
            <w:r>
              <w:t xml:space="preserve">ARE 1 for 48 months, ARE 2 for 24 months</w:t>
            </w:r>
          </w:p>
        </w:tc>
        <w:tc>
          <w:tcPr/>
          <w:p>
            <w:pPr>
              <w:pStyle w:val="Compact"/>
              <w:jc w:val="right"/>
            </w:pPr>
            <w:r>
              <w:t xml:space="preserve">218,079</w:t>
            </w:r>
          </w:p>
        </w:tc>
        <w:tc>
          <w:tcPr/>
          <w:p>
            <w:pPr>
              <w:pStyle w:val="Compact"/>
              <w:jc w:val="left"/>
            </w:pPr>
            <w:r>
              <w:t xml:space="preserve">Leaves 32,000 unused</w:t>
            </w:r>
          </w:p>
        </w:tc>
      </w:tr>
      <w:tr>
        <w:tc>
          <w:tcPr/>
          <w:p>
            <w:pPr>
              <w:pStyle w:val="Compact"/>
              <w:jc w:val="left"/>
            </w:pPr>
            <w:r>
              <w:t xml:space="preserve">Class-17 collaborator at 40%</w:t>
            </w:r>
          </w:p>
        </w:tc>
        <w:tc>
          <w:tcPr/>
          <w:p>
            <w:pPr>
              <w:pStyle w:val="Compact"/>
              <w:jc w:val="right"/>
            </w:pPr>
            <w:r>
              <w:t xml:space="preserve">245,000 to 280,000</w:t>
            </w:r>
          </w:p>
        </w:tc>
        <w:tc>
          <w:tcPr/>
          <w:p>
            <w:pPr>
              <w:pStyle w:val="Compact"/>
              <w:jc w:val="left"/>
            </w:pPr>
            <w:r>
              <w:t xml:space="preserve">Not an ARE, the applicant withdrew it on 20 Oct</w:t>
            </w:r>
          </w:p>
        </w:tc>
      </w:tr>
    </w:tbl>
    <w:bookmarkEnd w:id="27"/>
    <w:bookmarkEnd w:id="28"/>
    <w:bookmarkStart w:id="29" w:name="Xc74635b86ec09e9ef801ae75934ce49e9e2e37e"/>
    <w:p>
      <w:pPr>
        <w:pStyle w:val="Heading2"/>
      </w:pPr>
      <w:r>
        <w:t xml:space="preserve">3. Remarks to paste in mySNF (one per category, English)</w:t>
      </w:r>
    </w:p>
    <w:p>
      <w:pPr>
        <w:pStyle w:val="FirstParagraph"/>
      </w:pPr>
      <w:r>
        <w:t xml:space="preserve">Staff, research assistant 1 (ARE, 40%, M1 to M48). A master’s student, renewed by academic</w:t>
      </w:r>
      <w:r>
        <w:t xml:space="preserve"> </w:t>
      </w:r>
      <w:r>
        <w:t xml:space="preserve">year, who supports the specified technical work. Loading of the context feeds, alignment of the</w:t>
      </w:r>
      <w:r>
        <w:t xml:space="preserve"> </w:t>
      </w:r>
      <w:r>
        <w:t xml:space="preserve">outcome series, the rolling replay pipeline of WP3, the observation-mode dashboard runs and the</w:t>
      </w:r>
      <w:r>
        <w:t xml:space="preserve"> </w:t>
      </w:r>
      <w:r>
        <w:t xml:space="preserve">reproducibility of the evaluation code. The design, the models and the analyses are the</w:t>
      </w:r>
      <w:r>
        <w:t xml:space="preserve"> </w:t>
      </w:r>
      <w:r>
        <w:t xml:space="preserve">applicant’s (plan 2.3.3, 2.4). Doctoral students and postdocs are not employed, in line with the</w:t>
      </w:r>
      <w:r>
        <w:t xml:space="preserve"> </w:t>
      </w:r>
      <w:r>
        <w:t xml:space="preserve">Ambizione rules.</w:t>
      </w:r>
    </w:p>
    <w:p>
      <w:pPr>
        <w:pStyle w:val="BodyText"/>
      </w:pPr>
      <w:r>
        <w:t xml:space="preserve">Staff, research assistant 2 (ARE, 40%, M3 to M38). A master’s student who acts as the second</w:t>
      </w:r>
      <w:r>
        <w:t xml:space="preserve"> </w:t>
      </w:r>
      <w:r>
        <w:t xml:space="preserve">independent extractor of the manual benchmark in T1.2 (M3 to M9) under the registered</w:t>
      </w:r>
      <w:r>
        <w:t xml:space="preserve"> </w:t>
      </w:r>
      <w:r>
        <w:t xml:space="preserve">protocol, then supports the manual checks of the automated extraction, the episode inventory</w:t>
      </w:r>
      <w:r>
        <w:t xml:space="preserve"> </w:t>
      </w:r>
      <w:r>
        <w:t xml:space="preserve">and the evaluation of the respiratory and heat tests (plan 2.3.3, T1.2, T1.3, T3.0 to T3.4).</w:t>
      </w:r>
    </w:p>
    <w:p>
      <w:pPr>
        <w:pStyle w:val="BodyText"/>
      </w:pPr>
      <w:r>
        <w:t xml:space="preserve">Travel, conferences. Two European conferences per year and one overseas over the grant, to</w:t>
      </w:r>
      <w:r>
        <w:t xml:space="preserve"> </w:t>
      </w:r>
      <w:r>
        <w:t xml:space="preserve">present the registered results to the forecasting and evidence-synthesis communities (ESCAIDE,</w:t>
      </w:r>
      <w:r>
        <w:t xml:space="preserve"> </w:t>
      </w:r>
      <w:r>
        <w:t xml:space="preserve">Epidemics, International Symposium on Forecasting, ISBA, ICASR). CHF 2,000 per European</w:t>
      </w:r>
      <w:r>
        <w:t xml:space="preserve"> </w:t>
      </w:r>
      <w:r>
        <w:t xml:space="preserve">conference and CHF 4,000 overseas (plan 2.6, statement of mobility).</w:t>
      </w:r>
    </w:p>
    <w:p>
      <w:pPr>
        <w:pStyle w:val="BodyText"/>
      </w:pPr>
      <w:r>
        <w:t xml:space="preserve">Travel, mobility. Two short stays of one to two weeks with groups working on forecast evaluation</w:t>
      </w:r>
      <w:r>
        <w:t xml:space="preserve"> </w:t>
      </w:r>
      <w:r>
        <w:t xml:space="preserve">and nowcasting, hosts to be arranged once first results exist. Two visiting researchers hosted</w:t>
      </w:r>
      <w:r>
        <w:t xml:space="preserve"> </w:t>
      </w:r>
      <w:r>
        <w:t xml:space="preserve">in Geneva to reuse the open benchmark and code (statement of mobility, Regulations Art. 9 §4c).</w:t>
      </w:r>
    </w:p>
    <w:p>
      <w:pPr>
        <w:pStyle w:val="BodyText"/>
      </w:pPr>
      <w:r>
        <w:t xml:space="preserve">Workshops. One elicitation workshop with two to five experienced people from the Geneva</w:t>
      </w:r>
      <w:r>
        <w:t xml:space="preserve"> </w:t>
      </w:r>
      <w:r>
        <w:t xml:space="preserve">emergency services to set the costs of wrong decisions (plan 2.3.3, T4.1), and one final</w:t>
      </w:r>
      <w:r>
        <w:t xml:space="preserve"> </w:t>
      </w:r>
      <w:r>
        <w:t xml:space="preserve">briefing of results to the data partners (plan 2.6).</w:t>
      </w:r>
    </w:p>
    <w:p>
      <w:pPr>
        <w:pStyle w:val="BodyText"/>
      </w:pPr>
      <w:r>
        <w:t xml:space="preserve">IT services. Set-up of the project database and of the secure-environment runs with UNIGE IT</w:t>
      </w:r>
      <w:r>
        <w:t xml:space="preserve"> </w:t>
      </w:r>
      <w:r>
        <w:t xml:space="preserve">services, and a small instance for the daily dashboard in observation mode for the demand tests</w:t>
      </w:r>
      <w:r>
        <w:t xml:space="preserve"> </w:t>
      </w:r>
      <w:r>
        <w:t xml:space="preserve">that pass validation and that the services authorise (plan 2.3.3, T3.6 and WP4, 2.4).</w:t>
      </w:r>
    </w:p>
    <w:p>
      <w:pPr>
        <w:pStyle w:val="BodyText"/>
      </w:pPr>
      <w:r>
        <w:t xml:space="preserve">Open research data. Deposit and curation of the open extraction benchmark (D1.1), the code and</w:t>
      </w:r>
      <w:r>
        <w:t xml:space="preserve"> </w:t>
      </w:r>
      <w:r>
        <w:t xml:space="preserve">the evaluation outputs in a public repository with a persistent identifier (plan 2.6). Budgeted</w:t>
      </w:r>
      <w:r>
        <w:t xml:space="preserve"> </w:t>
      </w:r>
      <w:r>
        <w:t xml:space="preserve">now since it cannot be added later.</w:t>
      </w:r>
    </w:p>
    <w:p>
      <w:pPr>
        <w:pStyle w:val="BodyText"/>
      </w:pPr>
      <w:r>
        <w:t xml:space="preserve">Data access and regulatory fees. Extraction and preparation of the emergency series by the HUG</w:t>
      </w:r>
      <w:r>
        <w:t xml:space="preserve"> </w:t>
      </w:r>
      <w:r>
        <w:t xml:space="preserve">data office, and ethics commission fees for the Art. 34 LRH authorisation or clarification</w:t>
      </w:r>
      <w:r>
        <w:t xml:space="preserve"> </w:t>
      </w:r>
      <w:r>
        <w:t xml:space="preserve">(plan 2.4, data governance).</w:t>
      </w:r>
    </w:p>
    <w:bookmarkEnd w:id="29"/>
    <w:bookmarkStart w:id="30" w:name="to-confirm-before-entry"/>
    <w:p>
      <w:pPr>
        <w:pStyle w:val="Heading2"/>
      </w:pPr>
      <w:r>
        <w:t xml:space="preserve">4. To confirm before entry</w:t>
      </w:r>
    </w:p>
    <w:p>
      <w:pPr>
        <w:numPr>
          <w:ilvl w:val="0"/>
          <w:numId w:val="1002"/>
        </w:numPr>
        <w:pStyle w:val="Compact"/>
      </w:pPr>
      <w:r>
        <w:t xml:space="preserve">With the RGO. The current ARE gross rate (per month at 10%, or per hour), whether ARE</w:t>
      </w:r>
      <w:r>
        <w:t xml:space="preserve"> </w:t>
      </w:r>
      <w:r>
        <w:t xml:space="preserve">mandates on SNSF funds can be renewed across the four years, and whether 40% is the ceiling</w:t>
      </w:r>
      <w:r>
        <w:t xml:space="preserve"> </w:t>
      </w:r>
      <w:r>
        <w:t xml:space="preserve">per student or per project.</w:t>
      </w:r>
    </w:p>
    <w:p>
      <w:pPr>
        <w:numPr>
          <w:ilvl w:val="0"/>
          <w:numId w:val="1002"/>
        </w:numPr>
        <w:pStyle w:val="Compact"/>
      </w:pPr>
      <w:r>
        <w:t xml:space="preserve">With the RGO or HR, if an answer is possible before submission. The annuity UNIGE would set</w:t>
      </w:r>
      <w:r>
        <w:t xml:space="preserve"> </w:t>
      </w:r>
      <w:r>
        <w:t xml:space="preserve">for the applicant as collaborateur scientifique II in September 2027.</w:t>
      </w:r>
    </w:p>
    <w:p>
      <w:pPr>
        <w:numPr>
          <w:ilvl w:val="0"/>
          <w:numId w:val="1002"/>
        </w:numPr>
        <w:pStyle w:val="Compact"/>
      </w:pPr>
      <w:r>
        <w:t xml:space="preserve">With the HUG data office. Whether extraction fees apply to the emergency series, and how much.</w:t>
      </w:r>
    </w:p>
    <w:p>
      <w:pPr>
        <w:numPr>
          <w:ilvl w:val="0"/>
          <w:numId w:val="1002"/>
        </w:numPr>
        <w:pStyle w:val="Compact"/>
      </w:pPr>
      <w:r>
        <w:t xml:space="preserve">With the CCER. Its fee schedule for the planned submission.</w:t>
      </w:r>
    </w:p>
    <w:p>
      <w:pPr>
        <w:numPr>
          <w:ilvl w:val="0"/>
          <w:numId w:val="1002"/>
        </w:numPr>
        <w:pStyle w:val="Compact"/>
      </w:pPr>
      <w:r>
        <w:t xml:space="preserve">The plan’s table in 2.3.3 already reads</w:t>
      </w:r>
      <w:r>
        <w:t xml:space="preserve"> </w:t>
      </w:r>
      <w:r>
        <w:t xml:space="preserve">“</w:t>
      </w:r>
      <w:r>
        <w:t xml:space="preserve">Research assistants (master’s students, at most</w:t>
      </w:r>
      <w:r>
        <w:t xml:space="preserve"> </w:t>
      </w:r>
      <w:r>
        <w:t xml:space="preserve">40%)</w:t>
      </w:r>
      <w:r>
        <w:t xml:space="preserve">”</w:t>
      </w:r>
      <w:r>
        <w:t xml:space="preserve">. No plan change needed.</w:t>
      </w:r>
    </w:p>
    <w:bookmarkEnd w:id="30"/>
    <w:bookmarkStart w:id="31" w:name="rules-from-the-call-documents-unchanged"/>
    <w:p>
      <w:pPr>
        <w:pStyle w:val="Heading2"/>
      </w:pPr>
      <w:r>
        <w:t xml:space="preserve">5. Rules from the call documents (unchanged)</w:t>
      </w:r>
    </w:p>
    <w:p>
      <w:pPr>
        <w:numPr>
          <w:ilvl w:val="0"/>
          <w:numId w:val="1003"/>
        </w:numPr>
        <w:pStyle w:val="Compact"/>
      </w:pPr>
      <w:r>
        <w:t xml:space="preserve">Project funds capped at CHF 250,000 for four years (Art. 10 §4), pro-rated if shorter.</w:t>
      </w:r>
    </w:p>
    <w:p>
      <w:pPr>
        <w:numPr>
          <w:ilvl w:val="0"/>
          <w:numId w:val="1003"/>
        </w:numPr>
        <w:pStyle w:val="Compact"/>
      </w:pPr>
      <w:r>
        <w:t xml:space="preserve">Applicant salary separate, work quota 100% (80% only for care duties or further</w:t>
      </w:r>
      <w:r>
        <w:t xml:space="preserve"> </w:t>
      </w:r>
      <w:r>
        <w:t xml:space="preserve">qualification). The SNSF confirms the exact salary with the institution for approved grants.</w:t>
      </w:r>
    </w:p>
    <w:p>
      <w:pPr>
        <w:numPr>
          <w:ilvl w:val="0"/>
          <w:numId w:val="1003"/>
        </w:numPr>
        <w:pStyle w:val="Compact"/>
      </w:pPr>
      <w:r>
        <w:t xml:space="preserve">Doctoral students and postdocs cannot be employed. Other staff must be justified in the plan</w:t>
      </w:r>
      <w:r>
        <w:t xml:space="preserve"> </w:t>
      </w:r>
      <w:r>
        <w:t xml:space="preserve">(Guidelines 4.3), which 2.4 does.</w:t>
      </w:r>
    </w:p>
    <w:p>
      <w:pPr>
        <w:numPr>
          <w:ilvl w:val="0"/>
          <w:numId w:val="1003"/>
        </w:numPr>
        <w:pStyle w:val="Compact"/>
      </w:pPr>
      <w:r>
        <w:t xml:space="preserve">Equipment of enduring value at most CHF 100,000, not a live constraint.</w:t>
      </w:r>
    </w:p>
    <w:p>
      <w:pPr>
        <w:numPr>
          <w:ilvl w:val="0"/>
          <w:numId w:val="1003"/>
        </w:numPr>
        <w:pStyle w:val="Compact"/>
      </w:pPr>
      <w:r>
        <w:t xml:space="preserve">Open-access publication costs not eligible here. Open research data costs eligible, to be</w:t>
      </w:r>
      <w:r>
        <w:t xml:space="preserve"> </w:t>
      </w:r>
      <w:r>
        <w:t xml:space="preserve">budgeted now.</w:t>
      </w:r>
    </w:p>
    <w:p>
      <w:pPr>
        <w:numPr>
          <w:ilvl w:val="0"/>
          <w:numId w:val="1003"/>
        </w:numPr>
        <w:pStyle w:val="Compact"/>
      </w:pPr>
      <w:r>
        <w:t xml:space="preserve">No budget change after submission.</w:t>
      </w:r>
    </w:p>
    <w:bookmarkEnd w:id="31"/>
    <w:bookmarkStart w:id="32" w:name="decision-log"/>
    <w:p>
      <w:pPr>
        <w:pStyle w:val="Heading2"/>
      </w:pPr>
      <w:r>
        <w:t xml:space="preserve">6. Decision log</w:t>
      </w:r>
    </w:p>
    <w:p>
      <w:pPr>
        <w:numPr>
          <w:ilvl w:val="0"/>
          <w:numId w:val="1004"/>
        </w:numPr>
        <w:pStyle w:val="Compact"/>
      </w:pPr>
      <w:r>
        <w:t xml:space="preserve">13 Oct. RGO salary table from 19/12, average CHF 132,903.50, charges 23%, status collaborateur</w:t>
      </w:r>
      <w:r>
        <w:t xml:space="preserve"> </w:t>
      </w:r>
      <w:r>
        <w:t xml:space="preserve">scientifique II class 19. Budget guidance, justify every line in the remarks.</w:t>
      </w:r>
    </w:p>
    <w:p>
      <w:pPr>
        <w:numPr>
          <w:ilvl w:val="0"/>
          <w:numId w:val="1004"/>
        </w:numPr>
        <w:pStyle w:val="Compact"/>
      </w:pPr>
      <w:r>
        <w:t xml:space="preserve">14 Oct. RGO list of typical lines. Travel, mobility stays, two to three conferences per year,</w:t>
      </w:r>
      <w:r>
        <w:t xml:space="preserve"> </w:t>
      </w:r>
      <w:r>
        <w:t xml:space="preserve">workshops, ARE at most 40%, IT services.</w:t>
      </w:r>
    </w:p>
    <w:p>
      <w:pPr>
        <w:numPr>
          <w:ilvl w:val="0"/>
          <w:numId w:val="1004"/>
        </w:numPr>
        <w:pStyle w:val="Compact"/>
      </w:pPr>
      <w:r>
        <w:t xml:space="preserve">15 Oct. Applicant: he would start at 19/10 at best. Plan table rewritten without the 50%</w:t>
      </w:r>
      <w:r>
        <w:t xml:space="preserve"> </w:t>
      </w:r>
      <w:r>
        <w:t xml:space="preserve">collaborator.</w:t>
      </w:r>
    </w:p>
    <w:p>
      <w:pPr>
        <w:numPr>
          <w:ilvl w:val="0"/>
          <w:numId w:val="1004"/>
        </w:numPr>
        <w:pStyle w:val="Compact"/>
      </w:pPr>
      <w:r>
        <w:t xml:space="preserve">20 Oct, first pass. Applicant: current scale 19/9, annuities frozen three years, Ambizione</w:t>
      </w:r>
      <w:r>
        <w:t xml:space="preserve"> </w:t>
      </w:r>
      <w:r>
        <w:t xml:space="preserve">status collaborateur scientifique II with annuities recalculated, no decrease possible.</w:t>
      </w:r>
      <w:r>
        <w:t xml:space="preserve"> </w:t>
      </w:r>
      <w:r>
        <w:t xml:space="preserve">Conferences two per year in Europe plus one overseas. All expenses to be listed.</w:t>
      </w:r>
    </w:p>
    <w:p>
      <w:pPr>
        <w:numPr>
          <w:ilvl w:val="0"/>
          <w:numId w:val="1004"/>
        </w:numPr>
        <w:pStyle w:val="Compact"/>
      </w:pPr>
      <w:r>
        <w:t xml:space="preserve">20 Oct, second pass. Applicant: enter 19/9 at the start, prefer a 40% position for the whole</w:t>
      </w:r>
      <w:r>
        <w:t xml:space="preserve"> </w:t>
      </w:r>
      <w:r>
        <w:t xml:space="preserve">grant, never over the cap, pay the master’s student a minimum. A class-17 collaborator was</w:t>
      </w:r>
      <w:r>
        <w:t xml:space="preserve"> </w:t>
      </w:r>
      <w:r>
        <w:t xml:space="preserve">simulated and fitted by starting at M3.</w:t>
      </w:r>
    </w:p>
    <w:p>
      <w:pPr>
        <w:numPr>
          <w:ilvl w:val="0"/>
          <w:numId w:val="1004"/>
        </w:numPr>
        <w:pStyle w:val="Compact"/>
      </w:pPr>
      <w:r>
        <w:t xml:space="preserve">20 Oct, third pass. Applicant:</w:t>
      </w:r>
      <w:r>
        <w:t xml:space="preserve"> </w:t>
      </w:r>
      <w:r>
        <w:t xml:space="preserve">“</w:t>
      </w:r>
      <w:r>
        <w:t xml:space="preserve">I was wrong</w:t>
      </w:r>
      <w:r>
        <w:t xml:space="preserve">”</w:t>
      </w:r>
      <w:r>
        <w:t xml:space="preserve">, support staff are ARE. Budget redone with two</w:t>
      </w:r>
      <w:r>
        <w:t xml:space="preserve"> </w:t>
      </w:r>
      <w:r>
        <w:t xml:space="preserve">ARE lines (48 and 36 months at 40%), all other expenses kept at the fuller amounts, total</w:t>
      </w:r>
      <w:r>
        <w:t xml:space="preserve"> </w:t>
      </w:r>
      <w:r>
        <w:t xml:space="preserve">CHF 244,942.</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2026-10-20T12:40:00Z</dcterms:created>
  <dcterms:modified xsi:type="dcterms:W3CDTF">2026-10-20T12:40:00Z</dcterms:modified>
</cp:coreProperties>
</file>

<file path=docProps/custom.xml><?xml version="1.0" encoding="utf-8"?>
<Properties xmlns="http://schemas.openxmlformats.org/officeDocument/2006/custom-properties" xmlns:vt="http://schemas.openxmlformats.org/officeDocument/2006/docPropsVTypes"/>
</file>