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Before any clinical data are touched, the methods are validated on open Swiss series and released as a public benchmark.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an explicit measurement-error model can correct the distributions.</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under misspecification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systematic review of AI in emergency medical services [7], of which I am a co-author,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measured or validated yet. In particular, the historical model-selection pipeline still has to show that it uses only information available at each forecast date. That validation is the work of this grant.</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 under the registered comparison.</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3994944"/>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3994944"/>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 Legionellosis is the third test, in year four, on the linked case-environment data, and forecasts case incidence rather than demand. No fourth domain is planned. The outcome, the population and the pathogen of each test are not fixed in this plan. They will depend on what the published evidence defines and on the data available, for example emergency calls filtered on the recorded symptoms, emergency-department visits, hospital admissions, bed or ICU occupancy, or case counts [39, 40].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edc8eba5007710010c26f0d188cd5b9fd6c14f4"/>
    <w:p>
      <w:pPr>
        <w:pStyle w:val="Heading5"/>
      </w:pPr>
      <w:r>
        <w:t xml:space="preserve">T1.1. Define the evidence target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X6a0faf3a0070b42dad420c82deb40ef5734c23e"/>
    <w:p>
      <w:pPr>
        <w:pStyle w:val="Heading5"/>
      </w:pPr>
      <w:r>
        <w:t xml:space="preserve">T1.2. Build the quantitative extraction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1f0f12e8d6f84b4ee5e4c739d1c5cd9f8ae9623"/>
    <w:p>
      <w:pPr>
        <w:pStyle w:val="Heading5"/>
      </w:pPr>
      <w:r>
        <w:t xml:space="preserve">T1.3. Characterise automated extraction error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9cdeccc86e5c88b64f2110c6ca75497fb99dce6"/>
    <w:p>
      <w:pPr>
        <w:pStyle w:val="Heading5"/>
      </w:pPr>
      <w:r>
        <w:t xml:space="preserve">T1.4. Construct uncertainty-aware evidence distributions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t15-transportability-screen-m15m20"/>
    <w:p>
      <w:pPr>
        <w:pStyle w:val="Heading5"/>
      </w:pPr>
      <w:r>
        <w:t xml:space="preserve">T1.5. Transportability screen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manual extraction time is limited, the benchmark narrows to the core kinds of parameters.</w:t>
      </w:r>
    </w:p>
    <w:bookmarkEnd w:id="47"/>
    <w:bookmarkEnd w:id="48"/>
    <w:bookmarkStart w:id="54" w:name="Xc0434c24ca00f6b112465fd7b991c18f654948c"/>
    <w:p>
      <w:pPr>
        <w:pStyle w:val="Heading4"/>
      </w:pPr>
      <w:r>
        <w:t xml:space="preserve">WP2. Model levels of health-system pressure (M1–M28)</w:t>
      </w:r>
    </w:p>
    <w:bookmarkStart w:id="49" w:name="X6fb2173817eb7bbbe06940f5907621b778e1824"/>
    <w:p>
      <w:pPr>
        <w:pStyle w:val="Heading5"/>
      </w:pPr>
      <w:r>
        <w:t xml:space="preserve">T2.1. Specify and identify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represent-the-critical-tail-m6m14"/>
    <w:p>
      <w:pPr>
        <w:pStyle w:val="Heading5"/>
      </w:pPr>
      <w:r>
        <w:t xml:space="preserve">T2.2. Represent the critical tail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e333bd844ed9d0b4a6f19dd7593b876e27462b4"/>
    <w:p>
      <w:pPr>
        <w:pStyle w:val="Heading5"/>
      </w:pPr>
      <w:r>
        <w:t xml:space="preserve">T2.3. Include published evidence in the model parameters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b9bfd8debfdb203fd11e999ef1fb877424883c9"/>
    <w:p>
      <w:pPr>
        <w:pStyle w:val="Heading5"/>
      </w:pPr>
      <w:r>
        <w:t xml:space="preserve">T2.4. Add resilience indicators as a secondary information channel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319ea3cda6221798b95d6fb40987f10f35f77e1"/>
    <w:p>
      <w:pPr>
        <w:pStyle w:val="Heading5"/>
      </w:pPr>
      <w:r>
        <w:t xml:space="preserve">T2.5. Calibration, automation and validity monitoring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a7960acf36c1d85bbd791b43ddf50e138171798"/>
    <w:p>
      <w:pPr>
        <w:pStyle w:val="Heading4"/>
      </w:pPr>
      <w:r>
        <w:t xml:space="preserve">WP3. Test forecasts using historically available information (M1–M42)</w:t>
      </w:r>
    </w:p>
    <w:bookmarkStart w:id="55" w:name="X2d4b80b8a08fe78a38b6e5d3e36fb5dbba8cd37"/>
    <w:p>
      <w:pPr>
        <w:pStyle w:val="Heading5"/>
      </w:pPr>
      <w:r>
        <w:t xml:space="preserve">T3.0. Outcomes, data gate and episode eligibility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the HUG COVID-19 hospitalisation series I analysed before [35], or well-known open series. The candidates are listed at registration in order of preference. The target is chosen on access, completeness, cause coding, reporting delay and revisions, time resolution and usefulness for the services, before any forecast is compared. The causes and population groups used to filter it come from the evidence. Once chosen, the target stays fixed, so that no outcome can be picked afterwards because it gives better results, and both strategies are scored on the same target, period and rules. The other candidates serve as extra inputs for the pressure model. Weather, air quality, wastewater, sentinel consultations and calendar effects are context inputs. Open public series help validate the methods but do not replace local service data. The design is single-canton on purpose, and transfer is tested across the three crisis types and on the open national benchmark.</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and a blinded inventory of the eligible episodes, but before any performance is seen, a second registration fixes the early-episode window N, the main forecast horizon per crisis type and the margin Δ. Horizons follow what the services need, not results.</w:t>
      </w:r>
    </w:p>
    <w:p>
      <w:pPr>
        <w:pStyle w:val="BodyText"/>
      </w:pPr>
      <w:r>
        <w:t xml:space="preserve">Open-data track (M12–M24). Before clinical records are connected, the whole pipeline runs on open Swiss series (federal respiratory surveillance, national wastewater data, weekly deaths and MeteoSwiss weather), with archived multi-model forecasts as comparators [3, 4]. This checks that the replay and selection machinery works.</w:t>
      </w:r>
    </w:p>
    <w:bookmarkEnd w:id="55"/>
    <w:bookmarkStart w:id="56" w:name="X70eeaa2d41fea3b2059b80eb07a5f9cd68164b6"/>
    <w:p>
      <w:pPr>
        <w:pStyle w:val="Heading5"/>
      </w:pPr>
      <w:r>
        <w:t xml:space="preserve">T3.1. Assemble the retrospective information set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[43, 44], because reporting tends to slow down under pressure and can look like an early warning. The HUG COVID-19 hospitalisation data I analysed before [35] are requested again as an extra series to check and calibrate the respiratory models. Pharmacy sales and wastewater measurements are requested through the cantonal pharmacist and used as early indicators where access and coverage allow.</w:t>
      </w:r>
    </w:p>
    <w:bookmarkEnd w:id="56"/>
    <w:bookmarkStart w:id="57" w:name="X732c8171905058a06d4900e04fc44f0e3e215e1"/>
    <w:p>
      <w:pPr>
        <w:pStyle w:val="Heading5"/>
      </w:pPr>
      <w:r>
        <w:t xml:space="preserve">T3.2. Reconstruct the true information set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1b4be48293d1c4b7fa098a795079a0b73a54d6d"/>
    <w:p>
      <w:pPr>
        <w:pStyle w:val="Heading5"/>
      </w:pPr>
      <w:r>
        <w:t xml:space="preserve">T3.3. The model library and the automated selection engine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being the unit of analysis because only 13 to 14 candidate respiratory episodes exist. A paired permutation test and a bootstrap over whole episodes are both registered. Simulations run before the second registration set the type-I error, the power, the smallest number of episodes for a confirmatory claim and the window N, without using any forecast result.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adaptive weighting passes when its skill score is no more than Δ below fixed weighting with correct evidence and better than fixed weighting with shifted evidence.</w:t>
      </w:r>
    </w:p>
    <w:bookmarkEnd w:id="58"/>
    <w:bookmarkStart w:id="59" w:name="t34-map-benefit-and-failure-m28m38"/>
    <w:p>
      <w:pPr>
        <w:pStyle w:val="Heading5"/>
      </w:pPr>
      <w:r>
        <w:t xml:space="preserve">T3.4. Map benefit and failure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the-second-and-third-tests-m34m42"/>
    <w:p>
      <w:pPr>
        <w:pStyle w:val="Heading5"/>
      </w:pPr>
      <w:r>
        <w:t xml:space="preserve">T3.5. The second and third tests (M34–M42)</w:t>
      </w:r>
    </w:p>
    <w:p>
      <w:pPr>
        <w:pStyle w:val="FirstParagraph"/>
      </w:pPr>
      <w:r>
        <w:t xml:space="preserve">The heat test is the second test. The legionellosis test, in year four, applies the same comparison to case-incidence forecasts at the start of an outbreak, using the linked case-environment data, outside the confirmatory family of the two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on local service data. If access fails, the scientific claim narrows and the decision analysis is limited accordingly.</w:t>
      </w:r>
    </w:p>
    <w:bookmarkEnd w:id="60"/>
    <w:bookmarkEnd w:id="61"/>
    <w:bookmarkStart w:id="65" w:name="X817573a182041657fbc376b8819e3f332001f1c"/>
    <w:p>
      <w:pPr>
        <w:pStyle w:val="Heading4"/>
      </w:pPr>
      <w:r>
        <w:t xml:space="preserve">WP4. From predictive skill to operational value (M24–M48)</w:t>
      </w:r>
    </w:p>
    <w:bookmarkStart w:id="62" w:name="t41-elicit-costs-and-thresholds-m24m32"/>
    <w:p>
      <w:pPr>
        <w:pStyle w:val="Heading5"/>
      </w:pPr>
      <w:r>
        <w:t xml:space="preserve">T4.1. Elicit costs and thresholds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16b5f8351c46bb58f27b79671226450e9e24e9d"/>
    <w:p>
      <w:pPr>
        <w:pStyle w:val="Heading5"/>
      </w:pPr>
      <w:r>
        <w:t xml:space="preserve">T4.2. Decision-analytic evaluation and fairness audit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X992db0c14190232cd3dadd2da3dc249adeca167"/>
    <w:p>
      <w:pPr>
        <w:pStyle w:val="Heading5"/>
      </w:pPr>
      <w:r>
        <w:t xml:space="preserve">T4.3. Observation-mode dashboard and living updating (M34–M48)</w:t>
      </w:r>
    </w:p>
    <w:p>
      <w:pPr>
        <w:pStyle w:val="FirstParagraph"/>
      </w:pPr>
      <w:r>
        <w:t xml:space="preserve">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public forecasting benchmark, the library of evidence-derived inputs and the decision-analysis framework),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1868"/>
        <w:gridCol w:w="3206"/>
        <w:gridCol w:w="2818"/>
        <w:gridCol w:w="2654"/>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Médecin cantonal and SIG</w:t>
            </w:r>
          </w:p>
        </w:tc>
        <w:tc>
          <w:tcPr/>
          <w:p>
            <w:pPr>
              <w:pStyle w:val="Compact"/>
              <w:jc w:val="left"/>
            </w:pPr>
            <w:r>
              <w:t xml:space="preserve">Prof. Olivia Keiser, PI of the legionellosis study</w:t>
            </w:r>
          </w:p>
        </w:tc>
        <w:tc>
          <w:tcPr/>
          <w:p>
            <w:pPr>
              <w:pStyle w:val="Compact"/>
              <w:jc w:val="left"/>
            </w:pPr>
            <w:r>
              <w:t xml:space="preserve">Legionellosis linked data, analysis by the applicant</w:t>
            </w:r>
          </w:p>
        </w:tc>
        <w:tc>
          <w:tcPr/>
          <w:p>
            <w:pPr>
              <w:pStyle w:val="Compact"/>
              <w:jc w:val="left"/>
            </w:pPr>
            <w:r>
              <w:t xml:space="preserve">Study approved, BASEC 2026-00324</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the open-data track runs without clinical records, and the retrospective decision analysis of WP4 does not depend on live deployment. The open-data track cannot replace the test on local service data, so access agreements remain a priority before the award.</w:t>
      </w:r>
    </w:p>
    <w:p>
      <w:pPr>
        <w:pStyle w:val="BodyText"/>
      </w:pPr>
      <w:r>
        <w:drawing>
          <wp:inline>
            <wp:extent cx="6640000" cy="463636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463636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Pressure model passes the identifiability checks or fallback chosen, data gate checked</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complete, local outcome target selected and data harmonised, or access fallback activated</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Main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Three crisis types analysed, dashboard running where authorised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forecasting benchmark, the library of evidence-derived inputs and the code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biomedical research, prediction across settings and collaborative software development. 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2026-10-15T05:18:58Z</dcterms:created>
  <dcterms:modified xsi:type="dcterms:W3CDTF">2026-10-15T05:18:58Z</dcterms:modified>
</cp:coreProperties>
</file>

<file path=docProps/custom.xml><?xml version="1.0" encoding="utf-8"?>
<Properties xmlns="http://schemas.openxmlformats.org/officeDocument/2006/custom-properties" xmlns:vt="http://schemas.openxmlformats.org/officeDocument/2006/docPropsVTypes"/>
</file>