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06" w:type="dxa"/>
        <w:tblLook w:firstRow="1" w:lastRow="0" w:firstColumn="0" w:lastColumn="0" w:noHBand="0" w:noVBand="0" w:val="0020"/>
        <w:jc w:val="start"/>
        <w:tblLayout w:type="fixed"/>
      </w:tblPr>
      <w:tblGrid>
        <w:gridCol w:w="1560"/>
        <w:gridCol w:w="2550"/>
        <w:gridCol w:w="639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8445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84457"/>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reported extraction errors [Shankar 2026]; whether they systematically shrink dispersion is what H1 tests, and if the loss is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 The primary test values the whole evidence-informed configuration; the prior component's own contribution is isolated by registered secondary contrasts within the same model family.</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crisis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w:t>
      </w:r>
      <w:r>
        <w:t xml:space="preserve">, with a pre-specified interval (under-dispersion: ratio below one); between-study heterogeneity is assessed in parallel,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and if it fails, the pre-specified fallback in the candidate hierarchy is activated and the operational claim narrows accordingly.</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freely accessible and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previously analysed HUG COVID-19 hospitalisation data [Orel 2024], re-requested as a secondary respiratory validation and calibration dataset,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machinery in both arms isolates the evidence, not the selector. The library is deliberately broad for selection, not hypothesis multiplication: the confirmatory claim concerns only the evidence-informed versus local-only contrast;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mean over episodes, equally weighted.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fixed from a pre-specified operational-relevance criterion informed by T4.1's elicited losses;</w:t>
      </w:r>
      <w:r>
        <w:t xml:space="preserve"> </w:t>
      </w:r>
      <w:r>
        <w:rPr>
          <w:bCs/>
          <w:b/>
        </w:rPr>
        <w:t xml:space="preserve">Δ is a registered fraction of it</w:t>
      </w:r>
      <w:r>
        <w:t xml:space="preserve">; the same simulation evaluates power for these fixed targets and the stability of the ratio-based skill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06" w:type="dxa"/>
        <w:tblLook w:firstRow="1" w:lastRow="0" w:firstColumn="0" w:lastColumn="0" w:noHBand="0" w:noVBand="0" w:val="0020"/>
        <w:jc w:val="start"/>
        <w:tblLayout w:type="fixed"/>
      </w:tblPr>
      <w:tblGrid>
        <w:gridCol w:w="4016"/>
        <w:gridCol w:w="1719"/>
        <w:gridCol w:w="4771"/>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data (HUG)</w:t>
            </w:r>
          </w:p>
        </w:tc>
        <w:tc>
          <w:tcPr/>
          <w:p>
            <w:pPr>
              <w:pStyle w:val="Compact"/>
              <w:jc w:val="left"/>
            </w:pPr>
            <w:r>
              <w:t xml:space="preserve">Re-request planned</w:t>
            </w:r>
          </w:p>
        </w:tc>
        <w:tc>
          <w:tcPr/>
          <w:p>
            <w:pPr>
              <w:pStyle w:val="Compact"/>
              <w:jc w:val="left"/>
            </w:pPr>
            <w:r>
              <w:t xml:space="preserve">Previously analysed [Orel 2024]; validation and calibration dataset</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506" w:type="dxa"/>
        <w:tblLook w:firstRow="1" w:lastRow="0" w:firstColumn="0" w:lastColumn="0" w:noHBand="0" w:noVBand="0" w:val="0020"/>
        <w:jc w:val="start"/>
        <w:tblLayout w:type="fixed"/>
      </w:tblPr>
      <w:tblGrid>
        <w:gridCol w:w="4354"/>
        <w:gridCol w:w="6152"/>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storage, evaluation runs</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 automated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92160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92160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06" w:type="dxa"/>
        <w:tblLook w:firstRow="1" w:lastRow="0" w:firstColumn="0" w:lastColumn="0" w:noHBand="0" w:noVBand="0" w:val="0020"/>
        <w:jc w:val="start"/>
        <w:tblLayout w:type="fixed"/>
      </w:tblPr>
      <w:tblGrid>
        <w:gridCol w:w="1560"/>
        <w:gridCol w:w="1560"/>
        <w:gridCol w:w="738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and evidence-synthesis platforms (mine included) assume pooled estimates are reusable as priors; a calibrated null tells both that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a daily observation-mode dashboard in the hands of the services that would use it. Extending that nucleus into a multi-crisis surveillance platform, archetype by archetype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that is mine to set; none of the programmes below has this project's objective.</w:t>
      </w:r>
    </w:p>
    <w:tbl>
      <w:tblPr>
        <w:tblStyle w:val="Table"/>
        <w:tblW w:w="10506" w:type="dxa"/>
        <w:tblLook w:firstRow="1" w:lastRow="0" w:firstColumn="0" w:lastColumn="0" w:noHBand="0" w:noVBand="0" w:val="0020"/>
        <w:jc w:val="start"/>
        <w:tblLayout w:type="fixed"/>
      </w:tblPr>
      <w:tblGrid>
        <w:gridCol w:w="1980"/>
        <w:gridCol w:w="3957"/>
        <w:gridCol w:w="1560"/>
        <w:gridCol w:w="3009"/>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group leadership or a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00" w:right="700" w:bottom="600" w:left="70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2026-10-07T14:31:18Z</dcterms:created>
  <dcterms:modified xsi:type="dcterms:W3CDTF">2026-10-07T14:31:18Z</dcterms:modified>
</cp:coreProperties>
</file>

<file path=docProps/custom.xml><?xml version="1.0" encoding="utf-8"?>
<Properties xmlns="http://schemas.openxmlformats.org/officeDocument/2006/custom-properties" xmlns:vt="http://schemas.openxmlformats.org/officeDocument/2006/docPropsVTypes"/>
</file>