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evidence-informed champion against the local-only champion, repeated once, sequentially, as the heat generalisation test.</w:t>
      </w:r>
    </w:p>
    <w:p>
      <w:pPr>
        <w:pStyle w:val="BodyText"/>
      </w:pPr>
      <w:r>
        <w:t xml:space="preserve">Every component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build surveillance, epidemic-intelligence, forecasting or decision-support capability;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and why</w:t>
      </w:r>
      <w:r>
        <w:t xml:space="preserve"> </w:t>
      </w:r>
      <w:r>
        <w:t xml:space="preserve">validation 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so the grant</w:t>
      </w:r>
      <w:r>
        <w:t xml:space="preserve"> </w:t>
      </w:r>
      <w:r>
        <w:t xml:space="preserve">adds the science (the two arms, the registered rules, episode-level inference), not the</w:t>
      </w:r>
      <w:r>
        <w:t xml:space="preserve"> </w:t>
      </w:r>
      <w:r>
        <w:t xml:space="preserve">plumbing; the validated 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06" w:type="dxa"/>
        <w:tblLook w:firstRow="1" w:lastRow="0" w:firstColumn="0" w:lastColumn="0" w:noHBand="0" w:noVBand="0" w:val="0020"/>
        <w:jc w:val="start"/>
        <w:tblLayout w:type="fixed"/>
      </w:tblPr>
      <w:tblGrid>
        <w:gridCol w:w="1560"/>
        <w:gridCol w:w="2550"/>
        <w:gridCol w:w="639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8445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84457"/>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reported extraction errors [Shankar 2026]; whether they systematically shrink dispersion is what H1 tests, and if the loss is uncorrectable, the project establishes a boundary condition. The evidence target spans four object classes (parameter values; predictor variables and lags; model forms; outcome and threshold definitions: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critical-slowing-down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as a registered fraction of the minimal relevant H3a improvement: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 The primary test values the whole evidence-informed configuration; the prior component's own contribution is isolated by registered secondary contrasts within the same model family.</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crisis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Both arms score</w:t>
      </w:r>
      <w:r>
        <w:t xml:space="preserve"> </w:t>
      </w:r>
      <w:r>
        <w:rPr>
          <w:bCs/>
          <w:b/>
        </w:rPr>
        <w:t xml:space="preserve">the same quantity, built the same way</w:t>
      </w:r>
      <w:r>
        <w:t xml:space="preserve">: daily emergency demand from the</w:t>
      </w:r>
      <w:r>
        <w:t xml:space="preserve"> </w:t>
      </w:r>
      <w:r>
        <w:t xml:space="preserve">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w:t>
      </w:r>
      <w:r>
        <w:t xml:space="preserve">, with a pre-specified interval (under-dispersion: ratio below one); between-study heterogeneity is assessed in parallel,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their inputs' native cadence,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a canton whose data ecosystem I already work in; generalisation is carried by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and if it fails, the pre-specified fallback in the candidate hierarchy is activated and the operational claim narrows accordingly.</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freely accessible and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validates every component before operational data arrive, and makes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previously analysed daily HUG COVID-19 hospitalisation series [Orel 2024], re-requested as a secondary respiratory validation and calibration series,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and ECDC situational reports)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itself. Every input carries an index timestamp;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(pre-specified metrics: CRPS, log score, calibration; after T2.5 validity checks; blind to the other arm); the fixed champion then issues the outer forecast, scored on subsequently observed outcomes. Selection never sees the outcomes it is scored on; identical machinery in both arms isolates the evidence, not the selector. The library is deliberately broad for selection, not hypothesis multiplication: the confirmatory claim concerns only the evidence-informed versus local-only contrast;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mean over episodes, equally weighted.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fixed from a pre-specified operational-relevance criterion informed by T4.1's elicited losses;</w:t>
      </w:r>
      <w:r>
        <w:t xml:space="preserve"> </w:t>
      </w:r>
      <w:r>
        <w:rPr>
          <w:bCs/>
          <w:b/>
        </w:rPr>
        <w:t xml:space="preserve">Δ is a registered fraction of it</w:t>
      </w:r>
      <w:r>
        <w:t xml:space="preserve">; the same simulation evaluates power for these fixed targets and the stability of the ratio-based skill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it does not stall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typed outcome templates, multi-family model fitting with automated tuning,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06" w:type="dxa"/>
        <w:tblLook w:firstRow="1" w:lastRow="0" w:firstColumn="0" w:lastColumn="0" w:noHBand="0" w:noVBand="0" w:val="0020"/>
        <w:jc w:val="start"/>
        <w:tblLayout w:type="fixed"/>
      </w:tblPr>
      <w:tblGrid>
        <w:gridCol w:w="4016"/>
        <w:gridCol w:w="1719"/>
        <w:gridCol w:w="4771"/>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506" w:type="dxa"/>
        <w:tblLook w:firstRow="1" w:lastRow="0" w:firstColumn="0" w:lastColumn="0" w:noHBand="0" w:noVBand="0" w:val="0020"/>
        <w:jc w:val="start"/>
        <w:tblLayout w:type="fixed"/>
      </w:tblPr>
      <w:tblGrid>
        <w:gridCol w:w="4354"/>
        <w:gridCol w:w="6152"/>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storage, evaluation runs</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 automated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The design avoids a serial chain: WP2 falls back to weakly informative priors if WP1 finds extraction inadequate, WP3's open-data track runs regardless of operational access, and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921600"/>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921600"/>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06" w:type="dxa"/>
        <w:tblLook w:firstRow="1" w:lastRow="0" w:firstColumn="0" w:lastColumn="0" w:noHBand="0" w:noVBand="0" w:val="0020"/>
        <w:jc w:val="start"/>
        <w:tblLayout w:type="fixed"/>
      </w:tblPr>
      <w:tblGrid>
        <w:gridCol w:w="1560"/>
        <w:gridCol w:w="1560"/>
        <w:gridCol w:w="738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and evidence-synthesis platforms (mine included) assume pooled estimates are reusable as priors; a calibrated null tells both that the practice buys nothing where it is most used.</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w:t>
      </w:r>
    </w:p>
    <w:p>
      <w:pPr>
        <w:pStyle w:val="BodyText"/>
      </w:pPr>
      <w:r>
        <w:t xml:space="preserve">Durable resources remain,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for evidence-informed latent-state forecasting, 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archetypes show what transfers.</w:t>
      </w:r>
    </w:p>
    <w:p>
      <w:pPr>
        <w:pStyle w:val="BodyText"/>
      </w:pPr>
      <w:r>
        <w:rPr>
          <w:bCs/>
          <w:b/>
        </w:rPr>
        <w:t xml:space="preserve">Where this points operationally.</w:t>
      </w:r>
      <w:r>
        <w:t xml:space="preserve"> </w:t>
      </w:r>
      <w:r>
        <w:t xml:space="preserve">Each validated archetype leaves a registered, automatically re-validated configuration and a daily observation-mode dashboard in the hands of the services that would use it. Extending that nucleus into a multi-crisis surveillance platform, archetype by archetype as models validate, is the explicit post-grant pathway; this project supplies the validated core and update rules that make it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that is mine to set; none of the programmes below has this project's objective.</w:t>
      </w:r>
    </w:p>
    <w:tbl>
      <w:tblPr>
        <w:tblStyle w:val="Table"/>
        <w:tblW w:w="10506" w:type="dxa"/>
        <w:tblLook w:firstRow="1" w:lastRow="0" w:firstColumn="0" w:lastColumn="0" w:noHBand="0" w:noVBand="0" w:val="0020"/>
        <w:jc w:val="start"/>
        <w:tblLayout w:type="fixed"/>
      </w:tblPr>
      <w:tblGrid>
        <w:gridCol w:w="1980"/>
        <w:gridCol w:w="3957"/>
        <w:gridCol w:w="1560"/>
        <w:gridCol w:w="3009"/>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evidence-informed forecasting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from no group I have worked in; the platform is UNIGE intellectual property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independence guarantees are documented in the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open resources the field can build on, and a first-author methodological record in my own name: the basis for group leadership or a professorship.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00" w:right="700" w:bottom="600" w:left="70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2026-10-07T14:33:55Z</dcterms:created>
  <dcterms:modified xsi:type="dcterms:W3CDTF">2026-10-07T14:33:55Z</dcterms:modified>
</cp:coreProperties>
</file>

<file path=docProps/custom.xml><?xml version="1.0" encoding="utf-8"?>
<Properties xmlns="http://schemas.openxmlformats.org/officeDocument/2006/custom-properties" xmlns:vt="http://schemas.openxmlformats.org/officeDocument/2006/docPropsVTypes"/>
</file>