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help identify plausible parameter values, relevant explanatory variables and their lags, suitable model forms, and outcome definitions and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the local setting. The main focus is on comparing an evidence-informed strategy to a reference strategy. Both employ the same available context feeds, previous local outcomes, and the outcomes observed so far in the current episode. Only the evidence-informed strategy uses information extracted from published studies to refine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8d342a1ae2f8c82ff8e9121d007457c97fd6ea7"/>
    <w:p>
      <w:pPr>
        <w:pStyle w:val="Heading3"/>
      </w:pPr>
      <w:r>
        <w:t xml:space="preserve">2.1.3 Escalation of the demand for the service should also be assessed</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and that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 inputs and the outcome of interest, provided its uncertainty and local relevance are represented.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3604571"/>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3604571"/>
                    </a:xfrm>
                    <a:prstGeom prst="rect">
                      <a:avLst/>
                    </a:prstGeom>
                    <a:noFill/>
                    <a:ln w="9525">
                      <a:noFill/>
                      <a:headEnd/>
                      <a:tailEnd/>
                    </a:ln>
                  </pic:spPr>
                </pic:pic>
              </a:graphicData>
            </a:graphic>
          </wp:inline>
        </w:drawing>
      </w:r>
    </w:p>
    <w:p>
      <w:pPr>
        <w:pStyle w:val="BodyText"/>
      </w:pPr>
      <w:r>
        <w:rPr>
          <w:iCs/>
          <w:i/>
        </w:rPr>
        <w:t xml:space="preserve">Figure 1. What exists at the start of a crisis, what HEADSTART does (WP1 to WP4), the test, and where it runs.</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made wrong,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on access, data quality,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Disagreements are settled by discussion and the decision is recorded.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c0434c24ca00f6b112465fd7b991c18f654948c"/>
    <w:p>
      <w:pPr>
        <w:pStyle w:val="Heading4"/>
      </w:pPr>
      <w:r>
        <w:t xml:space="preserve">WP2. Model levels of health-system pressure (M1–M28)</w:t>
      </w:r>
    </w:p>
    <w:bookmarkStart w:id="49" w:name="Xcfcc11e2b7bec828711203675136706e3bef48c"/>
    <w:p>
      <w:pPr>
        <w:pStyle w:val="Heading5"/>
      </w:pPr>
      <w:r>
        <w:t xml:space="preserve">T2.1. Specify and identify the state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11394d15ad926b825360dd8c79c1031038fa8f4"/>
    <w:p>
      <w:pPr>
        <w:pStyle w:val="Heading4"/>
      </w:pPr>
      <w:r>
        <w:t xml:space="preserve">WP3. Test forecasts using historically available information (M12–M42)</w:t>
      </w:r>
    </w:p>
    <w:bookmarkStart w:id="55" w:name="X2d4b80b8a08fe78a38b6e5d3e36fb5dbba8cd37"/>
    <w:p>
      <w:pPr>
        <w:pStyle w:val="Heading5"/>
      </w:pPr>
      <w:r>
        <w:t xml:space="preserve">T3.0. Outcomes, data gate and episode eligibility (M1–M14)</w:t>
      </w:r>
    </w:p>
    <w:p>
      <w:pPr>
        <w:pStyle w:val="FirstParagraph"/>
      </w:pPr>
      <w:r>
        <w:t xml:space="preserve">Outcomes. The outcome of each test is not fixed in advance. It depends on what the published evidence defines and on the data available, for example emergency calls (CASU-144) filtered on the symptoms recorded for each call, emergency-department visits by cause, hospital admissions, bed or ICU occupancy, the HUG COVID-19 hospitalisation series I analysed before [35], or well-known open series. The candidates are listed at registration in order of preference. The target is chosen on access, data quality, time resolution and usefulness for the services, before any forecast is compared. The causes and population groups used to filter it come from the evidence. Once chosen, the target stays fixed, so that no outcome can be picked afterwards because it gives better results.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he-second-and-third-tests-m34m42"/>
    <w:p>
      <w:pPr>
        <w:pStyle w:val="Heading5"/>
      </w:pPr>
      <w:r>
        <w:t xml:space="preserve">T3.5. The second and third tests (M34–M42)</w:t>
      </w:r>
    </w:p>
    <w:p>
      <w:pPr>
        <w:pStyle w:val="FirstParagraph"/>
      </w:pPr>
      <w:r>
        <w:t xml:space="preserve">The heat test is the second test. The legionellosis test, in year four, applies the same comparison to case-incidence forecasts at the start of an outbreak, using the linked case-environment data.</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on local service data.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Xf4a9556a51514f6c6cfe18f6354d6daf4608cf0"/>
    <w:p>
      <w:pPr>
        <w:pStyle w:val="Heading5"/>
      </w:pPr>
      <w:r>
        <w:t xml:space="preserve">T4.1. Elicit operational losses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16b5f8351c46bb58f27b79671226450e9e24e9d"/>
    <w:p>
      <w:pPr>
        <w:pStyle w:val="Heading5"/>
      </w:pPr>
      <w:r>
        <w:t xml:space="preserve">T4.2. Decision-analytic evaluation and fairness audit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X992db0c14190232cd3dadd2da3dc249adeca167"/>
    <w:p>
      <w:pPr>
        <w:pStyle w:val="Heading5"/>
      </w:pPr>
      <w:r>
        <w:t xml:space="preserve">T4.3. Observation-mode dashboard and living updating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pPr>
          </w:p>
        </w:tc>
        <w:tc>
          <w:tcPr/>
          <w:p>
            <w:pPr>
              <w:pStyle w:val="Compact"/>
              <w:jc w:val="left"/>
            </w:pPr>
            <w:r>
              <w:t xml:space="preserve">Legionellosis linked data</w:t>
            </w:r>
          </w:p>
        </w:tc>
        <w:tc>
          <w:tcPr/>
          <w:p>
            <w:pPr>
              <w:pStyle w:val="Compact"/>
              <w:jc w:val="left"/>
            </w:pPr>
            <w:r>
              <w:t xml:space="preserve">Secured,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3801400"/>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3801400"/>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700"/>
        <w:gridCol w:w="1560"/>
        <w:gridCol w:w="728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service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2026-10-15T04:39:30Z</dcterms:created>
  <dcterms:modified xsi:type="dcterms:W3CDTF">2026-10-15T04:39:30Z</dcterms:modified>
</cp:coreProperties>
</file>

<file path=docProps/custom.xml><?xml version="1.0" encoding="utf-8"?>
<Properties xmlns="http://schemas.openxmlformats.org/officeDocument/2006/custom-properties" xmlns:vt="http://schemas.openxmlformats.org/officeDocument/2006/docPropsVTypes"/>
</file>