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Using published evidence to forecast health-system crises before local data exist</w:t>
      </w:r>
    </w:p>
    <w:bookmarkStart w:id="20" w:name="X54a346158e1c9302d737b408239f1b33007b474"/>
    <w:p>
      <w:pPr>
        <w:pStyle w:val="Heading1"/>
      </w:pPr>
      <w:r>
        <w:t xml:space="preserve">1. Summary</w:t>
      </w:r>
    </w:p>
    <w:p>
      <w:pPr>
        <w:pStyle w:val="FirstParagraph"/>
      </w:pPr>
      <w:r>
        <w:t xml:space="preserve">When a health crisis begins, the quantities decision-makers need to forecast (calls, presentations, demand, occupancy, severity) are precisely those for which almost no local outcome data yet exist: the outcome series is a handful of noisy observations, and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lack of reliable extraction and the difficulty of transporting it to the new setting. A confidently wrong prior is worse than none: it is most influential exactly when local data cannot correct it.</w:t>
      </w:r>
    </w:p>
    <w:p>
      <w:pPr>
        <w:pStyle w:val="BodyText"/>
      </w:pPr>
      <w:r>
        <w:t xml:space="preserve">This project asks one end-to-end question:</w:t>
      </w:r>
      <w:r>
        <w:t xml:space="preserve"> </w:t>
      </w:r>
      <w:r>
        <w:rPr>
          <w:bCs/>
          <w:b/>
        </w:rPr>
        <w:t xml:space="preserve">can published quantitative evidence be reliably extracted, transported and used to forecast health-system escalation when local outcome data are insufficient at crisis onset; can we detect early when it should not be trusted; does any gain change operational decisions; and can the whole loop run automatically, prospectively verified, under pre-registered rules?</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it into a validated instrument and tests it. I will (1) establish the error structure of automated extraction and propagate it into evidence-derived priors, for parameter values and the rest of what the literature carries (explanatory variables and lags, model forms, outcomes and thresholds); (2) represent the state of the care system as an unobserved regime process whose escalation probabilities carry every input's uncertainty, fed by those priors and a critical-slowing-down indicator read from the short local history; (3) test, by strict rolling-origin reconstruction of each historical moment's information, whether the evidence improves cold-start forecast skill and when it causes harm; and (4) whether any gain is large enough to change operational decisions. The decisive experiment runs a pre-registered library of candidate models (local baselines, surveillance algorithms, machine-learning and regime models; mechanistic components only for epidemiological crises) through an automated engine that checks assumptions, scores on established metrics and selects each arm's champion under rules fixed in advance. One contrast defines the confirmatory family: the evidence-informed against the local-only champion, tested on respiratory episodes and, only if that passes, repeated on heat as the sequential generalisation.</w:t>
      </w:r>
    </w:p>
    <w:p>
      <w:pPr>
        <w:pStyle w:val="BodyText"/>
      </w:pPr>
      <w:r>
        <w:t xml:space="preserve">The forecasting machinery is validated first on open Swiss series (a public benchmark), then on Geneva's operational series. Three Geneva crisis archetypes, and no more, carry the real-world tests: respiratory epidemics confirmatory, heatwaves the sequential generalisation, legionellosis a scoped year-4 extension. The outcome is intentionally falsifiable: if the evidence improves cold-start forecasts, the project establishes when and by how much; if not, or if harm cannot be detected early enough, a boundary condition for automated evidence-informed forecasting. For demand-based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and scored prospectively against observed outcomes, never yet steering care: the nucleus of a future living surveillance platform.</w:t>
      </w:r>
    </w:p>
    <w:p>
      <w:pPr>
        <w:pStyle w:val="BodyText"/>
      </w:pPr>
      <w:r>
        <w:t xml:space="preserve">The project rests on an unusual combination: fifteen years of quantitative finance on rare-event risk and regime models, LiteRev-Evidence, and Swiss emergency data. Ambizione turns these into an independent research programme, led by me.</w: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and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and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carrying its extraction error and its transportability uncertainty,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explanatory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the errors [Shankar 2026]. The open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more than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are heterogeneous across settings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nobody has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it is why this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I met this proposal's transportability</w:t>
      </w:r>
      <w:r>
        <w:t xml:space="preserve"> </w:t>
      </w:r>
      <w:r>
        <w:t xml:space="preserve">problem first elsewhere, and my role on it has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explanatory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the chain from published quantitative evidence to operational forecasting closes at the onset of a health-system crisis: reliable extraction, transport to the local setting, improved probabilistic forecasts of escalation, early detection of harmful borrowing, decision-relevant gains, and an automated, prospectively verified loop.</w:t>
      </w:r>
    </w:p>
    <w:p>
      <w:pPr>
        <w:pStyle w:val="BodyText"/>
      </w:pPr>
      <w:r>
        <w:t xml:space="preserve">This end-to-end question decomposes into</w:t>
      </w:r>
      <w:r>
        <w:t xml:space="preserve"> </w:t>
      </w:r>
      <w:r>
        <w:rPr>
          <w:bCs/>
          <w:b/>
        </w:rPr>
        <w:t xml:space="preserve">one central hypothesis, H3a</w:t>
      </w:r>
      <w:r>
        <w:t xml:space="preserve">; all else is subordinate, each row validating one link of the chain:</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across held-out adjudicated studies.</w:t>
      </w:r>
    </w:p>
    <w:p>
      <w:pPr>
        <w:pStyle w:val="FirstParagraph"/>
      </w:pPr>
      <w:r>
        <w:t xml:space="preserve">Omissions dominate reported extraction errors [Shankar 2026], and whether they systematically shrink dispersion is exactly what H1 tests; if the loss cannot be corrected,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explanatory-variable sets and model forms) improves probabilistic forecast skill during the early phase of a crisis; the persistence and decay of the advantage as local observations accumulate are assessed secondarily.</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a pre-specified 50% preservation fraction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For the demand-based archetypes, 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For respiratory and heat, both arms score</w:t>
      </w:r>
      <w:r>
        <w:t xml:space="preserve"> </w:t>
      </w:r>
      <w:r>
        <w:rPr>
          <w:bCs/>
          <w:b/>
        </w:rPr>
        <w:t xml:space="preserve">the same quantity, built the same way</w:t>
      </w:r>
      <w:r>
        <w:t xml:space="preserve">: daily</w:t>
      </w:r>
      <w:r>
        <w:t xml:space="preserve"> </w:t>
      </w:r>
      <w:r>
        <w:t xml:space="preserve">emergency demand from the 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Legionellosis instead forecasts case incidence</w:t>
      </w:r>
      <w:r>
        <w:t xml:space="preserve"> </w:t>
      </w:r>
      <w:r>
        <w:t xml:space="preserve">(T3.5), outside this demand comparison. If the month-12 gate activates the registered</w:t>
      </w:r>
      <w:r>
        <w:t xml:space="preserve"> </w:t>
      </w:r>
      <w:r>
        <w:t xml:space="preserve">fallback, 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The project does</w:t>
      </w:r>
      <w:r>
        <w:t xml:space="preserve"> </w:t>
      </w:r>
      <w:r>
        <w:rPr>
          <w:bCs/>
          <w:b/>
        </w:rPr>
        <w:t xml:space="preserve">not</w:t>
      </w:r>
      <w:r>
        <w:t xml:space="preserve"> </w:t>
      </w:r>
      <w:r>
        <w:t xml:space="preserve">aim to outperform forecast hubs in the data-rich regime, does not assume literature-derived priors are beneficial, and does not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w:t>
      </w:r>
      <w:r>
        <w:t xml:space="preserve"> </w:t>
      </w:r>
      <w:r>
        <w:rPr>
          <w:bCs/>
          <w:b/>
        </w:rPr>
        <w:t xml:space="preserve">(2) Explanatory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the highest applicable state prevails, capacity saturation alone defining critical.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a model failing its checks is excluded by pre-registered rules. Release a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never tightening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emergency demand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them; if not, the pre-specified fallback activates and the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serve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by a pre-specified operational criterion, never by forecast performance or episode results);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elicits the consequences of early, late and unnecessary escalation and derives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forecasts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state probabilities, forecasts and validity checks refreshed automatically,</w:t>
      </w:r>
      <w:r>
        <w:t xml:space="preserve"> </w:t>
      </w:r>
      <w:r>
        <w:rPr>
          <w:bCs/>
          <w:b/>
        </w:rPr>
        <w:t xml:space="preserve">recorded and scored prospectively against the outcomes as they are observed, never used clinically</w:t>
      </w:r>
      <w:r>
        <w:t xml:space="preserve">: the project ends with the system running and its quantification verified. The legionellosis extension is methodological and retrospective: it need not enter the capacity decision or the dashboard.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it.</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Secured</w:t>
            </w:r>
          </w:p>
        </w:tc>
        <w:tc>
          <w:tcPr/>
          <w:p>
            <w:pPr>
              <w:pStyle w:val="Compact"/>
              <w:jc w:val="left"/>
            </w:pPr>
            <w:r>
              <w:t xml:space="preserve">Letter of support signed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627129"/>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627129"/>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State model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and prospectively scored for validated demand-based archetypes where authorised</w:t>
            </w:r>
          </w:p>
        </w:tc>
      </w:tr>
    </w:tbl>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w:t>
      </w:r>
    </w:p>
    <w:p>
      <w:pPr>
        <w:pStyle w:val="BodyText"/>
      </w:pPr>
      <w:r>
        <w:rPr>
          <w:bCs/>
          <w:b/>
        </w:rPr>
        <w:t xml:space="preserve">Where this points operationally.</w:t>
      </w:r>
      <w:r>
        <w:t xml:space="preserve"> </w:t>
      </w:r>
      <w:r>
        <w:t xml:space="preserve">Each validated demand-based archetype leaves a registered, automatically re-validated configuration and, where authorised, a daily observation-mode dashboard, running and prospectively verified,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The question arose while I was building LiteRev-Evidence: the platform could pool published estimates into priors, and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guarantees are in the confirmation letters. The programme is executable by the PI and budgeted support personnel:</w:t>
      </w:r>
      <w:r>
        <w:t xml:space="preserve"> </w:t>
      </w:r>
      <w:r>
        <w:rPr>
          <w:bCs/>
          <w:b/>
        </w:rPr>
        <w:t xml:space="preserve">no named individual other than the PI is scientifically load-bearing.</w:t>
      </w:r>
    </w:p>
    <w:p>
      <w:pPr>
        <w:pStyle w:val="BodyText"/>
      </w:pPr>
      <w:r>
        <w:rPr>
          <w:bCs/>
          <w:b/>
        </w:rPr>
        <w:t xml:space="preserve">Where this leads.</w:t>
      </w:r>
      <w:r>
        <w:t xml:space="preserve"> </w:t>
      </w:r>
      <w:r>
        <w:t xml:space="preserve">By month 48: a validated answer and a first-author record: the basis for group leadership or a professorship. Ambizione consolidates my research time into one programme.</w: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2026-10-13T14:33:07Z</dcterms:created>
  <dcterms:modified xsi:type="dcterms:W3CDTF">2026-10-13T14:33:07Z</dcterms:modified>
</cp:coreProperties>
</file>

<file path=docProps/custom.xml><?xml version="1.0" encoding="utf-8"?>
<Properties xmlns="http://schemas.openxmlformats.org/officeDocument/2006/custom-properties" xmlns:vt="http://schemas.openxmlformats.org/officeDocument/2006/docPropsVTypes"/>
</file>