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help identify plausible parameter values, relevant explanatory variables and their lags, suitable model forms, and outcome definitions and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the local setting. The main focus is on comparing an evidence-informed strategy to a reference strategy. Both employ the same available context feeds, previous local outcomes, and the outcomes observed so far in the current episode. Only the evidence-informed strategy uses information extracted from published studies to refine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at the junction of statistics, mathematics and machine learning, then spent eleven years in quantitative finance on rare-event risk, regime changes and stress testing, and I am a certified Financial Risk Manager. A doctorate in biomedical sciences at Geneva brought these methods to public health. I conceived and built LiteRev with Aziza Merzouki and Olivia Keiser and extended it into LiteRev-Evidence, the prototype for evidence extraction and model comparison. Through GESICA I work with Geneva's emergency and surveillance data, and through GeoAI4EI (Horizon Europe)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when outcome data are rich [Cramer 2022; Sherratt 2023]. Emergency dispatch records move ahead of confirmed surveillance. The autumn wave of the 2009 A(H1N1) pandemic was seen eight days early in three European regions [Rosenkötter 2013], long series of emergency calls track influenza-like illness [Bonora 2025], and our systematic review maps the field [Edjinedja 2026].</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[Lazer 2014].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[Ibrahim 2000], commensurate priors [Hobbs 2011] and robust meta-analytic-predictive priors [Schmidli 2014]. Informative priors have also been used to forecast diseases with little local data [Cook 2023].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[Elliott 2014].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[Shankar 2026].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[Bareinboim 2016; Dahabreh 2020; Degtiar 2023], but they have not been combined with automated extraction, and their effect on forecasts at the start of a crisis has not been measured.</w:t>
      </w:r>
    </w:p>
    <w:bookmarkEnd w:id="22"/>
    <w:bookmarkStart w:id="23" w:name="X8d342a1ae2f8c82ff8e9121d007457c97fd6ea7"/>
    <w:p>
      <w:pPr>
        <w:pStyle w:val="Heading3"/>
      </w:pPr>
      <w:r>
        <w:t xml:space="preserve">2.1.3 Escalation of the demand for the service should also be assessed</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[Le Strat 1999; Watkins 2009], and extreme-value methods describe rare peaks in demand [Coles 2001], including hospital congestion in Switzerland [Ranjbar 2022].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[Keeling 2008] are considered only for infectious crises, and heat is modelled through exposure and response. Rises in variance and in day-to-day correlation, which precede some transitions [Scheffer 2009] and have been studied in epidemics [O'Regan 2013; Brett 2018; Southall 2021],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[Gneiting 2007], and decision analysis judges them by their consequences [Vickers 2006]. Heat thresholds built on mortality need not match those for service demand [Lung 2021], and the link between air pollution and asthma emergencies varies between places [Zheng 2015].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social and behavioural characteristics across East and Southern Africa and showed where the models transferred between countries, in a line of work shared with [Merzouki 2021] and [Esra 2023]. As last author of [Ng'ambi 2026] (accepted), I supervised the statistical analysis of the classification of self-reported cardiovascular disease across harmonised WHO STEPS surveys. This work gives direct experience of when a model learnt in one setting holds in another.</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and Prof. Olivia Keiser. The tool runs systematic searches from plain-language or Boolean queries, removes duplicates and maps the literature. On my own initiative I raised CHF 70,000 for it, from UNIGE (30,000), the Fondation Ernst et Lucie Schmidheiny (10,000), Venture Kick (10,000) and Mimosa (20,000). Our systematic review of AI in emergency medical services within GESICA [Edjinedja 2026]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the clinical severity of Delta and Omicron sub-lineages in a Swiss university hospital. [Estill 2020] built age-structured scenarios of the Swiss SARS-CoV-2 epidemic to support decisions under time pressure. I also contributed to WHO African Region reporting and to seroprevalence estimates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and that is the work of this grant.</w:t>
      </w:r>
    </w:p>
    <w:p>
      <w:pPr>
        <w:pStyle w:val="BodyText"/>
      </w:pPr>
      <w:r>
        <w:t xml:space="preserve">For GESICA I built the data foundation of the Geneva–Vaud–Neuchâtel network for influenza, COVID-19 and RSV, whose Geneva part HEADSTART uses, with an inventory of 28 surveillance sources (23 infectious and 5 environmental), each described by coverage, resolution, latency, access and quality.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of a cantonal study already under way (BASEC 2026-00324, ethics granted) that links confirmed legionellosis cases in Geneva to individual domestic hot-water installations. These linked data are the basis of the third test, on legionellosis case incidence, in year four.</w:t>
      </w:r>
    </w:p>
    <w:p>
      <w:pPr>
        <w:pStyle w:val="BodyText"/>
      </w:pPr>
      <w:r>
        <w:t xml:space="preserve">In short, my finance years give me Bayesian hierarchical modelling, regime changes, extreme values and stress testing under misspecification, LiteRev-Evidence gives me extraction and pooling, and the doctorate, the Swiss COVID-19 work, GESICA and GeoAI4EI give me the public-health context.</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 inputs and the outcome of interest, provided its uncertainty and local relevance are represented.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284571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845714"/>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w:t>
      </w:r>
    </w:p>
    <w:p>
      <w:pPr>
        <w:pStyle w:val="FirstParagraph"/>
      </w:pPr>
      <w:r>
        <w:t xml:space="preserve">Automated extraction also misses numbers entirely [Shankar 2026].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made wrong,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 plan registers a short list of clinically relevant outcomes, cause-filtered emergency calls (CASU-144), emergency-department visits by cause, hospital admissions or occupancy, and ICU occupancy, filtered by the causes and population groups that the evidence supports [Schulte 2024; Ragettli 2019]. The target is selected from this hierarchy on access, data quality, resolution and operational relevance, before any forecast performance is compared, and it does not change afterwards. Open public series support the validation of the methods but are not presented as a substitute for local service-demand data. A month-12 data gate checks that the selected target meets the registered criteria, otherwise the next outcome in the hierarchy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[Wargon 2009]. (4) How studies define outcomes and warning thresholds [Lung 2021].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Disagreements are settled by discussion and the decision is recorded.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[Hamilton 1989].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and commensurate priors are run as sensitivity checks.</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and conformal prediction [Angelopoulos 2023; Barber 2023] is tried as an extra check where its assumptions hold.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a694a77d033b61f3d1e7d09fe04f1af6ed4966d"/>
    <w:p>
      <w:pPr>
        <w:pStyle w:val="Heading5"/>
      </w:pPr>
      <w:r>
        <w:t xml:space="preserve">T3.0. Outcome hierarchy, data-access gate and episode eligibility (M1–M14)</w:t>
      </w:r>
    </w:p>
    <w:p>
      <w:pPr>
        <w:pStyle w:val="FirstParagraph"/>
      </w:pPr>
      <w:r>
        <w:t xml:space="preserve">Outcomes. The outcomes considered are, in order, cause-filtered emergency calls (CASU-144), emergency-department visits by cause, hospital admissions or occupancy, and ICU occupancy. For each test, the target is chosen from this list on access, data quality, time resolution and usefulness for the services, before any forecast is compared. The causes and population groups used to filter it come from the evidence, not from this plan. Once chosen, the target stays fixed, so that no outcome can be picked afterwards because it gives better results. The other outcomes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[Cramer 2022; Sherratt 2023].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[Höhle 2014; McGough 2020], because reporting tends to slow down under pressure and can look like an early warning. The HUG COVID-19 hospitalisation data I analysed before [Orel 2024]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[Salmon 2016],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est-generalisation-m34m42"/>
    <w:p>
      <w:pPr>
        <w:pStyle w:val="Heading5"/>
      </w:pPr>
      <w:r>
        <w:t xml:space="preserve">T3.5. Test generalisation (M34–M42)</w:t>
      </w:r>
    </w:p>
    <w:p>
      <w:pPr>
        <w:pStyle w:val="FirstParagraph"/>
      </w:pPr>
      <w:r>
        <w:t xml:space="preserve">The heat test is the second test. The legionellosis test, in year four, applies the same comparison to case-incidence forecasts at the start of an outbreak, using the linked case-environment data.</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4cfbd1a8ade59679f40817fa3772f5316ec74f9"/>
    <w:p>
      <w:pPr>
        <w:pStyle w:val="Heading5"/>
      </w:pPr>
      <w:r>
        <w:t xml:space="preserve">T4.2. Decision-analytic evaluation and equity audit (M30–M40)</w:t>
      </w:r>
    </w:p>
    <w:p>
      <w:pPr>
        <w:pStyle w:val="FirstParagraph"/>
      </w:pPr>
      <w:r>
        <w:t xml:space="preserve">The WP3 forecasts are re-assessed on the decisions they would trigger, with net-benefit, decision-curve and value-of-information methods, to see whether the ranking of the models changes once the costs of wrong decisions are counted. Calibration and threshold performance are also checked across groups by age, sex and, where the data allow, neighbourhood deprivation. A model that is well calibrated overall but poor for a group that matters for decisions does not pass.</w:t>
      </w:r>
    </w:p>
    <w:bookmarkEnd w:id="63"/>
    <w:bookmarkStart w:id="64" w:name="X12c081cf56367bd4c71fa0269d3fcc441aaadcf"/>
    <w:p>
      <w:pPr>
        <w:pStyle w:val="Heading5"/>
      </w:pPr>
      <w:r>
        <w:t xml:space="preserve">T4.3. Counterfactuals, observation-mode dashboard and living updating (M34–M48)</w:t>
      </w:r>
    </w:p>
    <w:p>
      <w:pPr>
        <w:pStyle w:val="FirstParagraph"/>
      </w:pPr>
      <w:r>
        <w:t xml:space="preserve">For selected past episodes, a simple capacity model estimates what might have changed had escalation followed the forecast. Uncertainty is carried through and the results are not presented as causal. 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[Elliott 2014].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(counterfactual analysis and, where authorised, the dashboard and update protocol).</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089"/>
        <w:gridCol w:w="2339"/>
        <w:gridCol w:w="3151"/>
        <w:gridCol w:w="2967"/>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w:t>
            </w:r>
          </w:p>
        </w:tc>
      </w:tr>
      <w:tr>
        <w:tc>
          <w:tcPr/>
          <w:p>
            <w:pPr>
              <w:pStyle w:val="Compact"/>
              <w:jc w:val="left"/>
            </w:pPr>
            <w:r>
              <w:t xml:space="preserve">HUG, emergency department</w:t>
            </w:r>
          </w:p>
        </w:tc>
        <w:tc>
          <w:tcPr/>
          <w:p>
            <w:pPr>
              <w:pStyle w:val="Compact"/>
              <w:jc w:val="left"/>
            </w:pPr>
            <w:r>
              <w:t xml:space="preserve">Prof. Thibaut Desmettre, head of department</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CASU-144, HUG</w:t>
            </w:r>
          </w:p>
        </w:tc>
        <w:tc>
          <w:tcPr/>
          <w:p>
            <w:pPr>
              <w:pStyle w:val="Compact"/>
              <w:jc w:val="left"/>
            </w:pPr>
            <w:r>
              <w:t xml:space="preserve">Dr Robert Larribau</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pPr>
          </w:p>
        </w:tc>
        <w:tc>
          <w:tcPr/>
          <w:p>
            <w:pPr>
              <w:pStyle w:val="Compact"/>
              <w:jc w:val="left"/>
            </w:pPr>
            <w:r>
              <w:t xml:space="preserve">Legionellosis linked data</w:t>
            </w:r>
          </w:p>
        </w:tc>
        <w:tc>
          <w:tcPr/>
          <w:p>
            <w:pPr>
              <w:pStyle w:val="Compact"/>
              <w:jc w:val="left"/>
            </w:pPr>
            <w:r>
              <w:t xml:space="preserve">Secured,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Under the 2026 rules, doctoral students and postdocs cannot be employed, but support personnel can.</w:t>
      </w:r>
    </w:p>
    <w:tbl>
      <w:tblPr>
        <w:tblStyle w:val="Table"/>
        <w:tblW w:w="10546" w:type="dxa"/>
        <w:tblLook w:firstRow="1" w:lastRow="0" w:firstColumn="0" w:lastColumn="0" w:noHBand="0" w:noVBand="0" w:val="0020"/>
        <w:jc w:val="start"/>
        <w:tblLayout w:type="fixed"/>
      </w:tblPr>
      <w:tblGrid>
        <w:gridCol w:w="4155"/>
        <w:gridCol w:w="639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 collaborator, up to 40% over 48 months</w:t>
            </w:r>
          </w:p>
        </w:tc>
        <w:tc>
          <w:tcPr/>
          <w:p>
            <w:pPr>
              <w:pStyle w:val="Compact"/>
              <w:jc w:val="left"/>
            </w:pPr>
            <w:r>
              <w:t xml:space="preserve">Benchmark support, data harmonisation, evaluation pipeline, reproducibility</w:t>
            </w:r>
          </w:p>
        </w:tc>
      </w:tr>
      <w:tr>
        <w:tc>
          <w:tcPr/>
          <w:p>
            <w:pPr>
              <w:pStyle w:val="Compact"/>
              <w:jc w:val="left"/>
            </w:pPr>
            <w:r>
              <w:t xml:space="preserve">Master's student as second extractor, M3–M9</w:t>
            </w:r>
          </w:p>
        </w:tc>
        <w:tc>
          <w:tcPr/>
          <w:p>
            <w:pPr>
              <w:pStyle w:val="Compact"/>
              <w:jc w:val="left"/>
            </w:pPr>
            <w:r>
              <w:t xml:space="preserve">Second extraction arm of the T1.2 benchmark</w:t>
            </w:r>
          </w:p>
        </w:tc>
      </w:tr>
      <w:tr>
        <w:tc>
          <w:tcPr/>
          <w:p>
            <w:pPr>
              <w:pStyle w:val="Compact"/>
              <w:jc w:val="left"/>
            </w:pPr>
            <w:r>
              <w:t xml:space="preserve">Data access, secure storage and processing</w:t>
            </w:r>
          </w:p>
        </w:tc>
        <w:tc>
          <w:tcPr/>
          <w:p>
            <w:pPr>
              <w:pStyle w:val="Compact"/>
              <w:jc w:val="left"/>
            </w:pPr>
            <w:r>
              <w:t xml:space="preserve">Project-specific extractions and secure-environment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The scientific collaborator supports the benchmark, the data harmonisation, the evaluation pipeline and reproducibility, and a master's student provides the second extraction arm from months 3 to 9.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262712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700"/>
        <w:gridCol w:w="1560"/>
        <w:gridCol w:w="728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service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in GeoAI4EI (Horizon Europe). We also work together on the MAS in Public Health, where I have taught statistics and epidemiology since 2024. Prof. Douglas Teodoro (DS4DH) supports the text-mining work of WP1. HEADSTART is my own programme, hosted at the Institute of Global Health and led by me, with the collaborator and the master's student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1"/>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1"/>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1"/>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1"/>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1"/>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1"/>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1"/>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1"/>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1"/>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1"/>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1"/>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1"/>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1"/>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1"/>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1"/>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1"/>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1"/>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1"/>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2026-10-14T19:42:48Z</dcterms:created>
  <dcterms:modified xsi:type="dcterms:W3CDTF">2026-10-14T19:42:48Z</dcterms:modified>
</cp:coreProperties>
</file>

<file path=docProps/custom.xml><?xml version="1.0" encoding="utf-8"?>
<Properties xmlns="http://schemas.openxmlformats.org/officeDocument/2006/custom-properties" xmlns:vt="http://schemas.openxmlformats.org/officeDocument/2006/docPropsVTypes"/>
</file>