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svgz" ContentType="image/svg+xml"/>
  <Override PartName="/word/media/rId81.svgz" ContentType="image/svg+xml"/>
  <Override PartName="/word/media/rId39.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Assembled document - do not edit here.</w:t>
      </w:r>
      <w:r>
        <w:t xml:space="preserve"> </w:t>
      </w:r>
      <w:r>
        <w:t xml:space="preserve">Generated by</w:t>
      </w:r>
      <w:r>
        <w:t xml:space="preserve"> </w:t>
      </w:r>
      <w:r>
        <w:rPr>
          <w:rStyle w:val="VerbatimChar"/>
        </w:rPr>
        <w:t xml:space="preserve">draft/assemble.sh</w:t>
      </w:r>
      <w:r>
        <w:t xml:space="preserve"> </w:t>
      </w:r>
      <w:r>
        <w:t xml:space="preserve">from the section files in</w:t>
      </w:r>
      <w:r>
        <w:t xml:space="preserve"> </w:t>
      </w:r>
      <w:r>
        <w:rPr>
          <w:rStyle w:val="VerbatimChar"/>
        </w:rPr>
        <w:t xml:space="preserve">draft/</w:t>
      </w:r>
      <w:r>
        <w:t xml:space="preserve">. Edit those, then re-run.</w:t>
      </w:r>
      <w:r>
        <w:t xml:space="preserve"> </w:t>
      </w:r>
      <w:r>
        <w:t xml:space="preserve">Figures are in</w:t>
      </w:r>
      <w:r>
        <w:t xml:space="preserve"> </w:t>
      </w:r>
      <w:r>
        <w:rPr>
          <w:rStyle w:val="VerbatimChar"/>
        </w:rPr>
        <w:t xml:space="preserve">draft/figures/</w:t>
      </w:r>
      <w:r>
        <w:t xml:space="preserve"> </w:t>
      </w:r>
      <w:r>
        <w:t xml:space="preserve">(regenerate with</w:t>
      </w:r>
      <w:r>
        <w:t xml:space="preserve"> </w:t>
      </w:r>
      <w:r>
        <w:rPr>
          <w:rStyle w:val="VerbatimChar"/>
        </w:rPr>
        <w:t xml:space="preserve">python3 draft/figures/make_figures.py</w:t>
      </w:r>
      <w:r>
        <w:t xml:space="preserve">).</w:t>
      </w:r>
      <w:r>
        <w:t xml:space="preserve"> </w:t>
      </w:r>
      <w:r>
        <w:t xml:space="preserve">Bibliography is</w:t>
      </w:r>
      <w:r>
        <w:t xml:space="preserve"> </w:t>
      </w:r>
      <w:r>
        <w:rPr>
          <w:rStyle w:val="VerbatimChar"/>
        </w:rPr>
        <w:t xml:space="preserve">draft/99-bibliography.md</w:t>
      </w:r>
      <w:r>
        <w:t xml:space="preserve">, excluded from the character count.</w:t>
      </w:r>
    </w:p>
    <w:p>
      <w:r>
        <w:pict>
          <v:rect style="width:0;height:1.5pt" o:hralign="center" o:hrstd="t" o:hr="t"/>
        </w:pict>
      </w:r>
    </w:p>
    <w:bookmarkStart w:id="20" w:name="title"/>
    <w:p>
      <w:pPr>
        <w:pStyle w:val="Heading1"/>
      </w:pPr>
      <w:r>
        <w:t xml:space="preserve">Title</w:t>
      </w:r>
    </w:p>
    <w:p>
      <w:pPr>
        <w:pStyle w:val="FirstParagraph"/>
      </w:pPr>
      <w:r>
        <w:rPr>
          <w:bCs/>
          <w:b/>
        </w:rPr>
        <w:t xml:space="preserve">COLDSTART: Anticipating health-system crises before the outcome is observable</w:t>
      </w:r>
    </w:p>
    <w:bookmarkEnd w:id="20"/>
    <w:bookmarkStart w:id="21" w:name="X54a346158e1c9302d737b408239f1b33007b474"/>
    <w:p>
      <w:pPr>
        <w:pStyle w:val="Heading1"/>
      </w:pPr>
      <w:r>
        <w:t xml:space="preserve">1. Summary</w:t>
      </w:r>
    </w:p>
    <w:p>
      <w:pPr>
        <w:pStyle w:val="FirstParagraph"/>
      </w:pPr>
      <w:r>
        <w:t xml:space="preserve">When a health crisis begins, the quantity decision-makers need to forecast (local presentations, demand, occupancy) is precisely the one for which almost no local outcome data yet exist. Context variables abound, but the outcome series is initially a handful of noisy observations, so systems that perform well on years of local history are weakest when early decisions matter most.</w:t>
      </w:r>
    </w:p>
    <w:p>
      <w:pPr>
        <w:pStyle w:val="BodyText"/>
      </w:pPr>
      <w:r>
        <w:t xml:space="preserve">There is, however, another source of quantitative information: accumulated published evidence from analogous events elsewhere, with thousands of studies reporting transmission parameters, weather–demand associations, surge magnitudes and lengths of stay. It is rarely tested as formal prior information for operational forecasting, not for lack of statistical machinery but because of the two steps that matter most:</w:t>
      </w:r>
      <w:r>
        <w:t xml:space="preserve"> </w:t>
      </w:r>
      <w:r>
        <w:rPr>
          <w:bCs/>
          <w:b/>
        </w:rPr>
        <w:t xml:space="preserve">can quantitative estimates be extracted reliably enough to pool, and do they transport to the new setting?</w:t>
      </w:r>
      <w:r>
        <w:t xml:space="preserve"> </w:t>
      </w:r>
      <w:r>
        <w:t xml:space="preserve">A confidently wrong prior is worse than no prior, because it is most influential when local data cannot yet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t xml:space="preserve">Building on LiteRev-Evidence, a literature-synthesis platform I developed that extracts and pools quantitative parameters from more than 80,000 documents, I will (1) establish the error structure of automated extraction and propagate that uncertainty into evidence-derived priors; (2) develop an uncertainty-aware latent-regime framework for health-system escalation, with those priors and a short-window resilience signal; (3) test, through strict rolling-origin experiments reconstructing the information available at each historical moment, whether the priors improve probabilistic forecast skill during the cold-start phase, how fast that value decays as local data accumulate, and when they cause harm; and (4) determine whether any gain is large enough to change operational decisions.</w:t>
      </w:r>
    </w:p>
    <w:p>
      <w:pPr>
        <w:pStyle w:val="BodyText"/>
      </w:pPr>
      <w:r>
        <w:t xml:space="preserve">The methodological core is simpler than the full machinery might suggest. The decisive experiment is a pre-specified ladder of models: local baselines; established short-baseline methods; a regime model with weakly informative priors; the same model with literature-derived priors; and adaptive borrowing that discounts the literature under prior–data conflict. One primary rung-to-rung contrast is confirmatory, repeated once, sequentially, as the heat generalisation test. Critical-slowing-down indicators, extreme-value methods and conformal calibration are supporting components, not separate claims of success.</w:t>
      </w:r>
    </w:p>
    <w:p>
      <w:pPr>
        <w:pStyle w:val="BodyText"/>
      </w:pPr>
      <w:r>
        <w:t xml:space="preserve">Validation uses contrasting crisis archetypes: respiratory epidemics carry the confirmatory test, heatwaves the sequential generalisation test, Geneva legionellosis a scoped year-4 extension; generalisability is tested, not assumed. The outcome is intentionally falsifiable: if literature-derived priors improve cold-start forecasts, the project establishes when and by how much; if not, or if their harm cannot be detected early enough, it establishes a boundary condition for automated evidence-informed forecasting. Either way, the deliverable is a validated answer and an open framework, not another untested forecasting platform.</w:t>
      </w:r>
    </w:p>
    <w:p>
      <w:pPr>
        <w:pStyle w:val="BodyText"/>
      </w:pPr>
      <w:r>
        <w:t xml:space="preserve">The project is enabled by an unusual combination of expertise and infrastructure: fifteen years in quantitative finance on rare-event risk, regime models and stress testing; then LiteRev and LiteRev-Evidence, and direct work with Swiss hospital and emergency data. Ambizione would turn these components into an independent research programme, led by me, at the intersection of evidence synthesis, quantitative modelling and emergency public health.</w:t>
      </w:r>
    </w:p>
    <w:p>
      <w:r>
        <w:pict>
          <v:rect style="width:0;height:1.5pt" o:hralign="center" o:hrstd="t" o:hr="t"/>
        </w:pict>
      </w:r>
    </w:p>
    <w:bookmarkEnd w:id="21"/>
    <w:bookmarkStart w:id="90" w:name="X8b36afa75a2de508da9560c6460302ca5c61af2"/>
    <w:p>
      <w:pPr>
        <w:pStyle w:val="Heading1"/>
      </w:pPr>
      <w:r>
        <w:t xml:space="preserve">2. Proposed research</w:t>
      </w:r>
    </w:p>
    <w:bookmarkStart w:id="28" w:name="X3824c2b9afdf0750c0641121f961c7d2a2d683f"/>
    <w:p>
      <w:pPr>
        <w:pStyle w:val="Heading2"/>
      </w:pPr>
      <w:r>
        <w:t xml:space="preserve">2.1 Current state of research in the field</w:t>
      </w:r>
    </w:p>
    <w:bookmarkStart w:id="22" w:name="X8cc0075286262c1bfebda7a4470ac04cf00f396"/>
    <w:p>
      <w:pPr>
        <w:pStyle w:val="Heading3"/>
      </w:pPr>
      <w:r>
        <w:t xml:space="preserve">2.1.1 Forecasting health-system crises: strong in steady state, weak at onset</w:t>
      </w:r>
    </w:p>
    <w:p>
      <w:pPr>
        <w:pStyle w:val="FirstParagraph"/>
      </w:pPr>
      <w:r>
        <w:t xml:space="preserve">Anticipating surges in emergency demand is an established field. Syndromic surveillance detects departures from expected baselines; the Farrington quasi-Poisson framework [Farrington 1996] and its reweighted "Flexible" extension [Noufaily 2013] remain operational mainstays. For quantitative prediction, seasonal ARIMA, decomposition models and recurrent architectures are routinely compared, and forecast ensembles perform strongly in data-rich settings [Cramer 2022; Sherratt 2023].</w:t>
      </w:r>
    </w:p>
    <w:p>
      <w:pPr>
        <w:pStyle w:val="BodyText"/>
      </w:pPr>
      <w:r>
        <w:t xml:space="preserve">Prehospital data can lead: dispatch records capture care-seeking before laboratory-confirmed surveillance, a three-region European comparison identified the 2009 A(H1N1) autumn-wave onset eight days in advance [Rosenkötter 2013], and long emergency-call series track influenza-like illness [EMS-ILI 2025]. Our systematic review maps this literature and its limits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weekday structure, weather response and crisis dynamics, so published operational performance is concentrated in the data-rich regime. The difficult question is what to do during the first days or weeks of a novel or displaced crisis, when the local outcome series is short and unstable.</w:t>
      </w:r>
    </w:p>
    <w:bookmarkEnd w:id="22"/>
    <w:bookmarkStart w:id="23" w:name="Xc0ccfad156bceb62a10e7291daf90c62bff4f32"/>
    <w:p>
      <w:pPr>
        <w:pStyle w:val="Heading3"/>
      </w:pPr>
      <w:r>
        <w:t xml:space="preserve">2.1.2 The cold-start problem is specifically a labelled-outcome problem</w:t>
      </w:r>
    </w:p>
    <w:p>
      <w:pPr>
        <w:pStyle w:val="FirstParagraph"/>
      </w:pPr>
      <w:r>
        <w:t xml:space="preserve">At crisis onset, context variables are abundant but the outcome to be forecast is not. Surveillance variables divide into</w:t>
      </w:r>
      <w:r>
        <w:t xml:space="preserve"> </w:t>
      </w:r>
      <w:r>
        <w:rPr>
          <w:bCs/>
          <w:b/>
        </w:rPr>
        <w:t xml:space="preserve">outcomes</w:t>
      </w:r>
      <w:r>
        <w:t xml:space="preserve"> </w:t>
      </w:r>
      <w:r>
        <w:t xml:space="preserve">(presentations, incidence, occupancy),</w:t>
      </w:r>
      <w:r>
        <w:t xml:space="preserve"> </w:t>
      </w:r>
      <w:r>
        <w:rPr>
          <w:bCs/>
          <w:b/>
        </w:rPr>
        <w:t xml:space="preserve">early signals</w:t>
      </w:r>
      <w:r>
        <w:t xml:space="preserve"> </w:t>
      </w:r>
      <w:r>
        <w:t xml:space="preserve">(dispatch symptoms, wastewater, web search),</w:t>
      </w:r>
      <w:r>
        <w:t xml:space="preserve"> </w:t>
      </w:r>
      <w:r>
        <w:rPr>
          <w:bCs/>
          <w:b/>
        </w:rPr>
        <w:t xml:space="preserve">susceptibility variables</w:t>
      </w:r>
      <w:r>
        <w:t xml:space="preserve"> </w:t>
      </w:r>
      <w:r>
        <w:t xml:space="preserve">(vaccination, seroprevalence) and</w:t>
      </w:r>
      <w:r>
        <w:t xml:space="preserve"> </w:t>
      </w:r>
      <w:r>
        <w:rPr>
          <w:bCs/>
          <w:b/>
        </w:rPr>
        <w:t xml:space="preserve">covariates</w:t>
      </w:r>
      <w:r>
        <w:t xml:space="preserve"> </w:t>
      </w:r>
      <w:r>
        <w:t xml:space="preserve">(weather, contacts, calendar). The first class is scarce; the others may abound. This is not simply small-</w:t>
      </w:r>
      <w:r>
        <w:rPr>
          <w:iCs/>
          <w:i/>
        </w:rPr>
        <w:t xml:space="preserve">n</w:t>
      </w:r>
      <w:r>
        <w:t xml:space="preserve">: it is forecasting a poorly observed outcome in a large covariate space.</w:t>
      </w:r>
    </w:p>
    <w:p>
      <w:pPr>
        <w:pStyle w:val="BodyText"/>
      </w:pPr>
      <w:r>
        <w:t xml:space="preserve">This matters because abundance of candidate predictors can itself mislead: Google Flu Trends famously overestimated influenza activity by more than a factor of two [Lazer 2014]. More information is not automatically more information about the quantity that matters.</w:t>
      </w:r>
    </w:p>
    <w:p>
      <w:pPr>
        <w:pStyle w:val="BodyText"/>
      </w:pPr>
      <w:r>
        <w:t xml:space="preserve">Early signals help but do not eliminate the problem: wastewater may lead clinical presentation, but converting viral load into presentations needs a shedding-to-incidence relationship that itself comes from external evidence; transfer learning needs contemporaneous observations from comparable places; mechanistic models need parameters set by hand from a few studies, uncertainty asserted rather than derived. The common issue is</w:t>
      </w:r>
      <w:r>
        <w:t xml:space="preserve"> </w:t>
      </w:r>
      <w:r>
        <w:rPr>
          <w:bCs/>
          <w:b/>
        </w:rPr>
        <w:t xml:space="preserve">how to use external quantitative information without pretending it is perfectly transferable</w:t>
      </w:r>
      <w:r>
        <w:t xml:space="preserve">.</w:t>
      </w:r>
    </w:p>
    <w:bookmarkEnd w:id="23"/>
    <w:bookmarkStart w:id="24" w:name="X3c6ab8362502a3a1878607a17216a1a3d198456"/>
    <w:p>
      <w:pPr>
        <w:pStyle w:val="Heading3"/>
      </w:pPr>
      <w:r>
        <w:t xml:space="preserve">2.1.3 The unused resource: published evidence as quantitative prior information</w:t>
      </w:r>
    </w:p>
    <w:p>
      <w:pPr>
        <w:pStyle w:val="FirstParagraph"/>
      </w:pPr>
      <w:r>
        <w:t xml:space="preserve">Thousands of studies report quantities relevant at crisis onset: weather–demand associations, surge multipliers, transmission parameters and length-of-stay distributions. Bayesian borrowing is well developed: power priors discount historical information [Ibrahim 2000], commensurate priors adapt to agreement between sources [Hobbs 2011], meta-analytic-predictive priors derive a new-setting distribution with robust protection against prior–data conflict [Schmidli 2014].</w:t>
      </w:r>
    </w:p>
    <w:p>
      <w:pPr>
        <w:pStyle w:val="BodyText"/>
      </w:pPr>
      <w:r>
        <w:t xml:space="preserve">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early enough to act. Two problems make that test non-trivial.</w:t>
      </w:r>
    </w:p>
    <w:p>
      <w:pPr>
        <w:pStyle w:val="BodyText"/>
      </w:pPr>
      <w:r>
        <w:rPr>
          <w:bCs/>
          <w:b/>
        </w:rPr>
        <w:t xml:space="preserve">Extraction.</w:t>
      </w:r>
      <w:r>
        <w:t xml:space="preserve"> </w:t>
      </w:r>
      <w:r>
        <w:t xml:space="preserve">Effect measures are reported inconsistently, across definitions, units and uncertainty representations. Automated extraction makes large-scale synthesis feasible, but our review of the emerging literature shows numerical extraction remains less reliable than categorical: reported numerical accuracy spans roughly 47–88% versus 74–96% for categorical items, and omissions dominate errors [Shankar 2026]. The question is not whether a system can retrieve numbers, but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and reweighting tools exist [Bareinboim 2016; Dahabreh 2019; Degtiar 2023], but are not integrated into an operational framework asking whether literature-derived information improves forecasts in a new crisis.</w:t>
      </w:r>
    </w:p>
    <w:p>
      <w:pPr>
        <w:pStyle w:val="BodyText"/>
      </w:pPr>
      <w:r>
        <w:t xml:space="preserve">These are not merely engineering obstacles; they define the scientific test:</w:t>
      </w:r>
      <w:r>
        <w:t xml:space="preserve"> </w:t>
      </w:r>
      <w:r>
        <w:rPr>
          <w:bCs/>
          <w:b/>
        </w:rPr>
        <w:t xml:space="preserve">can accumulated evidence earn a formal role in cold-start forecasting, and when should it be discounted or rejected?</w:t>
      </w:r>
    </w:p>
    <w:bookmarkEnd w:id="24"/>
    <w:bookmarkStart w:id="25" w:name="Xecedfc0e85842780c7ec6604e8b1bed108373a1"/>
    <w:p>
      <w:pPr>
        <w:pStyle w:val="Heading3"/>
      </w:pPr>
      <w:r>
        <w:t xml:space="preserve">2.1.4 Representing escalation as a state, not only a point forecast</w:t>
      </w:r>
    </w:p>
    <w:p>
      <w:pPr>
        <w:pStyle w:val="FirstParagraph"/>
      </w:pPr>
      <w:r>
        <w:t xml:space="preserve">A second, supporting problem is the target itself: emergency operations are interested in state (routine, elevated, strained or critical) rather than only a point prediction of tomorrow's count. Latent-state representations are established in surveillance: Poisson hidden Markov models have long distinguished epidemic from non-epidemic periods [Le Strat 1999; Watkins 2009], and extreme-value methods have been applied to Swiss hospital visits and congestion [Coles 2001; Ranjbar 2022].</w:t>
      </w:r>
    </w:p>
    <w:p>
      <w:pPr>
        <w:pStyle w:val="BodyText"/>
      </w:pPr>
      <w:r>
        <w:t xml:space="preserve">This project uses these ideas in a deliberately limited way: a latent ordinal state provides the common representation in which borrowing strategies are compared, with an extreme-value component for rare critical exceedances. The contribution is not the models but their use as a</w:t>
      </w:r>
      <w:r>
        <w:t xml:space="preserve"> </w:t>
      </w:r>
      <w:r>
        <w:rPr>
          <w:bCs/>
          <w:b/>
        </w:rPr>
        <w:t xml:space="preserve">common state representation for testing evidence borrowing at crisis onset</w:t>
      </w:r>
      <w:r>
        <w:t xml:space="preserve">.</w:t>
      </w:r>
    </w:p>
    <w:p>
      <w:pPr>
        <w:pStyle w:val="BodyText"/>
      </w:pPr>
      <w:r>
        <w:t xml:space="preserve">A complementary signal comes from critical-slowing-down theory: systems approaching some transitions show rising variance and lag-1 autocorrelation beforehand [Scheffer 2009], with epidemic applications [O'Regan 2013; Brett 2018; Southall 2021]. Attractive here because they use the shape of a short recent series rather than a long history of comparable crises, they are a</w:t>
      </w:r>
      <w:r>
        <w:t xml:space="preserve"> </w:t>
      </w:r>
      <w:r>
        <w:rPr>
          <w:bCs/>
          <w:b/>
        </w:rPr>
        <w:t xml:space="preserve">secondary information channel</w:t>
      </w:r>
      <w:r>
        <w:t xml:space="preserve"> </w:t>
      </w:r>
      <w:r>
        <w:t xml:space="preserve">tested empirically, not a universal early-warning mechanism.</w:t>
      </w:r>
    </w:p>
    <w:bookmarkEnd w:id="25"/>
    <w:bookmarkStart w:id="26" w:name="X99a5bd9dc02c8c76ef848bbd20e75c79796dec6"/>
    <w:p>
      <w:pPr>
        <w:pStyle w:val="Heading3"/>
      </w:pPr>
      <w:r>
        <w:t xml:space="preserve">2.1.5 From forecast accuracy to decision value</w:t>
      </w:r>
    </w:p>
    <w:p>
      <w:pPr>
        <w:pStyle w:val="FirstParagraph"/>
      </w:pPr>
      <w:r>
        <w:t xml:space="preserve">Forecasting studies commonly report discrimination or error measures such as AUC and RMSE. Proper scoring rules evaluate probabilistic forecasts and reward calibration [Gneiting 2007], but even a well-calibrated forecast is operationally irrelevant if it changes no decision. Decision-analytic methods instead evaluate predictions under explicit consequences and thresholds [Vickers 2006].</w:t>
      </w:r>
    </w:p>
    <w:p>
      <w:pPr>
        <w:pStyle w:val="BodyText"/>
      </w:pPr>
      <w:r>
        <w:t xml:space="preserve">This matters in crisis response because false alarms and missed escalations carry asymmetric, persistent costs. Clinical monitoring is the warning: 72–99% of reported alarms have been false or non-actionable in reviewed settings [Winters 2018]; heat-health thresholds calibrated to mortality need not match morbidity or demand thresholds [Lee 2021], and pollution–asthma emergency associations, though documented internationally, lack recent Swiss acute-episode studies [Zheng 2015]. The project therefore evaluates forecasting methods first statistically, then under an elicited operational loss structure.</w:t>
      </w:r>
    </w:p>
    <w:bookmarkEnd w:id="26"/>
    <w:bookmarkStart w:id="27" w:name="Xcffe7b25efe45aa8a82ae710f46e6a6d9896fcd"/>
    <w:p>
      <w:pPr>
        <w:pStyle w:val="Heading3"/>
      </w:pPr>
      <w:r>
        <w:t xml:space="preserve">2.1.6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These programmes develop surveillance, forecasting and decision-support capability from local data; their stated objectives do not include testing whether automatically synthesised external evidence should enter a forecast as formal prior information at local cold start.</w:t>
      </w:r>
    </w:p>
    <w:p>
      <w:pPr>
        <w:pStyle w:val="BodyText"/>
      </w:pPr>
      <w:r>
        <w:t xml:space="preserve">The four pieces above exist separately: forecasting that needs local history, Bayesian borrowing with discounting, latent-state and resilience representations of escalation, and decision analysis. What has not been established is whether they connect around the</w:t>
      </w:r>
      <w:r>
        <w:t xml:space="preserve"> </w:t>
      </w:r>
      <w:r>
        <w:rPr>
          <w:bCs/>
          <w:b/>
        </w:rPr>
        <w:t xml:space="preserve">cold-start question</w:t>
      </w:r>
      <w:r>
        <w:t xml:space="preserve">: whether systematically extracted quantitative evidence improves probabilistic forecasting before local outcome data become informative, and whether harmful borrowing is detectable early enough to discount. The supporting components are justified only insofar as they make that comparison valid.</w:t>
      </w:r>
    </w:p>
    <w:p>
      <w:r>
        <w:pict>
          <v:rect style="width:0;height:1.5pt" o:hralign="center" o:hrstd="t" o:hr="t"/>
        </w:pict>
      </w:r>
    </w:p>
    <w:bookmarkEnd w:id="27"/>
    <w:bookmarkEnd w:id="28"/>
    <w:bookmarkStart w:id="35" w:name="Xa448212baed32b5829f978c0a6d9bb51a0b0982"/>
    <w:p>
      <w:pPr>
        <w:pStyle w:val="Heading2"/>
      </w:pPr>
      <w:r>
        <w:t xml:space="preserve">2.2 Current state of personal research and competences required for the project</w:t>
      </w:r>
    </w:p>
    <w:p>
      <w:pPr>
        <w:pStyle w:val="FirstParagraph"/>
      </w:pPr>
      <w:r>
        <w:t xml:space="preserve">My route here is unusual and it is why the project is tractable: fifteen years in quantitative</w:t>
      </w:r>
      <w:r>
        <w:t xml:space="preserve"> </w:t>
      </w:r>
      <w:r>
        <w:t xml:space="preserve">finance (risk modelling, extreme-value estimation for non-Gaussian tails, regime and factor</w:t>
      </w:r>
      <w:r>
        <w:t xml:space="preserve"> </w:t>
      </w:r>
      <w:r>
        <w:t xml:space="preserve">models, stress testing), then a doctorate in biomedical sciences at Geneva (defended 18 December</w:t>
      </w:r>
      <w:r>
        <w:t xml:space="preserve"> </w:t>
      </w:r>
      <w:r>
        <w:t xml:space="preserve">2023). The instruments this proposal brings to health-system surge are those I used daily to</w:t>
      </w:r>
      <w:r>
        <w:t xml:space="preserve"> </w:t>
      </w:r>
      <w:r>
        <w:t xml:space="preserve">anticipate rare, costly transitions elsewhere.</w:t>
      </w:r>
    </w:p>
    <w:bookmarkStart w:id="29" w:name="X79f512daa76dde01429b5fcb893d8ff3c91b25a"/>
    <w:p>
      <w:pPr>
        <w:pStyle w:val="Heading3"/>
      </w:pPr>
      <w:r>
        <w:t xml:space="preserve">2.2.1 Prediction under sparse and imperfect information</w:t>
      </w:r>
    </w:p>
    <w:p>
      <w:pPr>
        <w:pStyle w:val="FirstParagraph"/>
      </w:pPr>
      <w:r>
        <w:t xml:space="preserve">My doctoral work addressed prediction from incomplete individual-level data: in</w:t>
      </w:r>
      <w:r>
        <w:t xml:space="preserve"> </w:t>
      </w:r>
      <w:r>
        <w:rPr>
          <w:bCs/>
          <w:b/>
        </w:rPr>
        <w:t xml:space="preserve">Orel et al.,</w:t>
      </w:r>
      <w:r>
        <w:rPr>
          <w:bCs/>
          <w:b/>
        </w:rPr>
        <w:t xml:space="preserve"> </w:t>
      </w:r>
      <w:r>
        <w:rPr>
          <w:iCs/>
          <w:i/>
          <w:bCs/>
          <w:b/>
        </w:rPr>
        <w:t xml:space="preserve">PLoS ONE</w:t>
      </w:r>
      <w:r>
        <w:rPr>
          <w:bCs/>
          <w:b/>
        </w:rPr>
        <w:t xml:space="preserve"> </w:t>
      </w:r>
      <w:r>
        <w:rPr>
          <w:bCs/>
          <w:b/>
        </w:rPr>
        <w:t xml:space="preserve">2022</w:t>
      </w:r>
      <w:r>
        <w:t xml:space="preserve"> </w:t>
      </w:r>
      <w:r>
        <w:t xml:space="preserve">I predicted individual HIV status from socio-behavioural</w:t>
      </w:r>
      <w:r>
        <w:t xml:space="preserve"> </w:t>
      </w:r>
      <w:r>
        <w:t xml:space="preserve">characteristics across East and Southern Africa, establishing where models transported between</w:t>
      </w:r>
      <w:r>
        <w:t xml:space="preserve"> </w:t>
      </w:r>
      <w:r>
        <w:t xml:space="preserve">countries and where they did not. Work on latent structure across sub-Saharan African populations</w:t>
      </w:r>
      <w:r>
        <w:t xml:space="preserve"> </w:t>
      </w:r>
      <w:r>
        <w:t xml:space="preserve">(</w:t>
      </w:r>
      <w:r>
        <w:rPr>
          <w:bCs/>
          <w:b/>
        </w:rPr>
        <w:t xml:space="preserve">Merzouki et al.,</w:t>
      </w:r>
      <w:r>
        <w:rPr>
          <w:bCs/>
          <w:b/>
        </w:rPr>
        <w:t xml:space="preserve"> </w:t>
      </w:r>
      <w:r>
        <w:rPr>
          <w:iCs/>
          <w:i/>
          <w:bCs/>
          <w:b/>
        </w:rPr>
        <w:t xml:space="preserve">PeerJ</w:t>
      </w:r>
      <w:r>
        <w:rPr>
          <w:bCs/>
          <w:b/>
        </w:rPr>
        <w:t xml:space="preserve"> </w:t>
      </w:r>
      <w:r>
        <w:rPr>
          <w:bCs/>
          <w:b/>
        </w:rPr>
        <w:t xml:space="preserve">2021</w:t>
      </w:r>
      <w:r>
        <w:t xml:space="preserve">) and treatment-interruption prediction (</w:t>
      </w:r>
      <w:r>
        <w:rPr>
          <w:bCs/>
          <w:b/>
        </w:rPr>
        <w:t xml:space="preserve">Esra et al.,</w:t>
      </w:r>
      <w:r>
        <w:rPr>
          <w:bCs/>
          <w:b/>
        </w:rPr>
        <w:t xml:space="preserve"> </w:t>
      </w:r>
      <w:r>
        <w:rPr>
          <w:iCs/>
          <w:i/>
          <w:bCs/>
          <w:b/>
        </w:rPr>
        <w:t xml:space="preserve">JAIDS</w:t>
      </w:r>
      <w:r>
        <w:rPr>
          <w:bCs/>
          <w:b/>
        </w:rPr>
        <w:t xml:space="preserve"> </w:t>
      </w:r>
      <w:r>
        <w:rPr>
          <w:bCs/>
          <w:b/>
        </w:rPr>
        <w:t xml:space="preserve">2023</w:t>
      </w:r>
      <w:r>
        <w:t xml:space="preserve">) developed the same theme: when an estimate from one population is usable in another. I</w:t>
      </w:r>
      <w:r>
        <w:t xml:space="preserve"> </w:t>
      </w:r>
      <w:r>
        <w:t xml:space="preserve">now</w:t>
      </w:r>
      <w:r>
        <w:t xml:space="preserve"> </w:t>
      </w:r>
      <w:r>
        <w:rPr>
          <w:bCs/>
          <w:b/>
        </w:rPr>
        <w:t xml:space="preserve">senior-author</w:t>
      </w:r>
      <w:r>
        <w:t xml:space="preserve"> </w:t>
      </w:r>
      <w:r>
        <w:t xml:space="preserve">that line (last author,</w:t>
      </w:r>
      <w:r>
        <w:t xml:space="preserve"> </w:t>
      </w:r>
      <w:r>
        <w:rPr>
          <w:bCs/>
          <w:b/>
        </w:rPr>
        <w:t xml:space="preserve">Ng'ambi et al., accepted</w:t>
      </w:r>
      <w:r>
        <w:t xml:space="preserve">: machine-learning</w:t>
      </w:r>
      <w:r>
        <w:t xml:space="preserve"> </w:t>
      </w:r>
      <w:r>
        <w:t xml:space="preserve">classification of cardiovascular disease history across harmonised WHO STEPS surveys). That is</w:t>
      </w:r>
      <w:r>
        <w:t xml:space="preserve"> </w:t>
      </w:r>
      <w:r>
        <w:t xml:space="preserve">this proposal's transportability problem, met first in another disease area, and moved from</w:t>
      </w:r>
      <w:r>
        <w:t xml:space="preserve"> </w:t>
      </w:r>
      <w:r>
        <w:t xml:space="preserve">conducting to directing.</w:t>
      </w:r>
    </w:p>
    <w:bookmarkEnd w:id="29"/>
    <w:bookmarkStart w:id="30" w:name="Xba523bf0c9ce96e07c41e7deb8806875f5dbd29"/>
    <w:p>
      <w:pPr>
        <w:pStyle w:val="Heading3"/>
      </w:pPr>
      <w:r>
        <w:t xml:space="preserve">2.2.2 Automated evidence synthesis</w:t>
      </w:r>
    </w:p>
    <w:p>
      <w:pPr>
        <w:pStyle w:val="FirstParagraph"/>
      </w:pPr>
      <w:r>
        <w:t xml:space="preserve">I have worked on automated evidence extraction since joining the Institute of Global Health in</w:t>
      </w:r>
      <w:r>
        <w:t xml:space="preserve"> </w:t>
      </w:r>
      <w:r>
        <w:rPr>
          <w:bCs/>
          <w:b/>
        </w:rPr>
        <w:t xml:space="preserve">2019</w:t>
      </w:r>
      <w:r>
        <w:t xml:space="preserve">.</w:t>
      </w:r>
      <w:r>
        <w:t xml:space="preserve"> </w:t>
      </w:r>
      <w:r>
        <w:rPr>
          <w:bCs/>
          <w:b/>
        </w:rPr>
        <w:t xml:space="preserve">Orel et al.,</w:t>
      </w:r>
      <w:r>
        <w:rPr>
          <w:bCs/>
          <w:b/>
        </w:rPr>
        <w:t xml:space="preserve"> </w:t>
      </w:r>
      <w:r>
        <w:rPr>
          <w:iCs/>
          <w:i/>
          <w:bCs/>
          <w:b/>
        </w:rPr>
        <w:t xml:space="preserve">J Med Internet Res</w:t>
      </w:r>
      <w:r>
        <w:rPr>
          <w:bCs/>
          <w:b/>
        </w:rPr>
        <w:t xml:space="preserve"> </w:t>
      </w:r>
      <w:r>
        <w:rPr>
          <w:bCs/>
          <w:b/>
        </w:rPr>
        <w:t xml:space="preserve">2023</w:t>
      </w:r>
      <w:r>
        <w:t xml:space="preserve"> </w:t>
      </w:r>
      <w:r>
        <w:t xml:space="preserve">introduced</w:t>
      </w:r>
      <w:r>
        <w:t xml:space="preserve"> </w:t>
      </w:r>
      <w:r>
        <w:rPr>
          <w:bCs/>
          <w:b/>
        </w:rPr>
        <w:t xml:space="preserve">LiteRev</w:t>
      </w:r>
      <w:r>
        <w:t xml:space="preserve">, an automated</w:t>
      </w:r>
      <w:r>
        <w:t xml:space="preserve"> </w:t>
      </w:r>
      <w:r>
        <w:t xml:space="preserve">literature-review tool combining NLP, dimensionality reduction, clustering and nearest-neighbour</w:t>
      </w:r>
      <w:r>
        <w:t xml:space="preserve"> </w:t>
      </w:r>
      <w:r>
        <w:t xml:space="preserve">retrieval. I led its development with</w:t>
      </w:r>
      <w:r>
        <w:t xml:space="preserve"> </w:t>
      </w:r>
      <w:r>
        <w:rPr>
          <w:bCs/>
          <w:b/>
        </w:rPr>
        <w:t xml:space="preserve">Aziza Merzouki</w:t>
      </w:r>
      <w:r>
        <w:t xml:space="preserve"> </w:t>
      </w:r>
      <w:r>
        <w:t xml:space="preserve">(PhD, computer science) and secured</w:t>
      </w:r>
      <w:r>
        <w:t xml:space="preserve"> </w:t>
      </w:r>
      <w:r>
        <w:t xml:space="preserve">development 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LiteRev is used in practice: the AI-in-EMS</w:t>
      </w:r>
      <w:r>
        <w:t xml:space="preserve"> </w:t>
      </w:r>
      <w:r>
        <w:t xml:space="preserve">systematic review (</w:t>
      </w:r>
      <w:r>
        <w:rPr>
          <w:bCs/>
          <w:b/>
        </w:rPr>
        <w:t xml:space="preserve">Edjinedja, Larribau, Orel et al.</w:t>
      </w:r>
      <w:r>
        <w:t xml:space="preserve">, submitted 2026), within GESICA, used it</w:t>
      </w:r>
      <w:r>
        <w:t xml:space="preserve"> </w:t>
      </w:r>
      <w:r>
        <w:t xml:space="preserve">to structure 138 retained publications.</w:t>
      </w:r>
    </w:p>
    <w:bookmarkEnd w:id="30"/>
    <w:bookmarkStart w:id="31" w:name="X5f9a3db217f7eebde7303f7024eb5a825e7cbc9"/>
    <w:p>
      <w:pPr>
        <w:pStyle w:val="Heading3"/>
      </w:pPr>
      <w:r>
        <w:t xml:space="preserve">2.2.3 Outbreak and health-system modelling in Switzerland</w:t>
      </w:r>
    </w:p>
    <w:p>
      <w:pPr>
        <w:pStyle w:val="FirstParagraph"/>
      </w:pPr>
      <w:r>
        <w:rPr>
          <w:bCs/>
          <w:b/>
        </w:rPr>
        <w:t xml:space="preserve">Orel et al.,</w:t>
      </w:r>
      <w:r>
        <w:rPr>
          <w:bCs/>
          <w:b/>
        </w:rPr>
        <w:t xml:space="preserve"> </w:t>
      </w:r>
      <w:r>
        <w:rPr>
          <w:iCs/>
          <w:i/>
          <w:bCs/>
          <w:b/>
        </w:rPr>
        <w:t xml:space="preserve">CMI Communications</w:t>
      </w:r>
      <w:r>
        <w:rPr>
          <w:bCs/>
          <w:b/>
        </w:rPr>
        <w:t xml:space="preserve"> </w:t>
      </w:r>
      <w:r>
        <w:rPr>
          <w:bCs/>
          <w:b/>
        </w:rPr>
        <w:t xml:space="preserve">2024</w:t>
      </w:r>
      <w:r>
        <w:t xml:space="preserve"> </w:t>
      </w:r>
      <w:r>
        <w:t xml:space="preserve">compared clinical severity between Delta and Omicron</w:t>
      </w:r>
      <w:r>
        <w:t xml:space="preserve"> </w:t>
      </w:r>
      <w:r>
        <w:t xml:space="preserve">sub-lineages in a Swiss tertiary centre, on hospital clinical data.</w:t>
      </w:r>
      <w:r>
        <w:t xml:space="preserve"> </w:t>
      </w:r>
      <w:r>
        <w:rPr>
          <w:bCs/>
          <w:b/>
        </w:rPr>
        <w:t xml:space="preserve">Estill et al.,</w:t>
      </w:r>
      <w:r>
        <w:rPr>
          <w:bCs/>
          <w:b/>
        </w:rPr>
        <w:t xml:space="preserve"> </w:t>
      </w:r>
      <w:r>
        <w:rPr>
          <w:iCs/>
          <w:i/>
          <w:bCs/>
          <w:b/>
        </w:rPr>
        <w:t xml:space="preserve">F1000Research</w:t>
      </w:r>
      <w:r>
        <w:rPr>
          <w:bCs/>
          <w:b/>
        </w:rPr>
        <w:t xml:space="preserve"> </w:t>
      </w:r>
      <w:r>
        <w:rPr>
          <w:bCs/>
          <w:b/>
        </w:rPr>
        <w:t xml:space="preserve">2020</w:t>
      </w:r>
      <w:r>
        <w:t xml:space="preserve"> </w:t>
      </w:r>
      <w:r>
        <w:t xml:space="preserve">built age-structured scenario models for the Swiss SARS-CoV-2 epidemic</w:t>
      </w:r>
      <w:r>
        <w:t xml:space="preserve"> </w:t>
      </w:r>
      <w:r>
        <w:t xml:space="preserve">under planning time pressure: the experience this proposal's question comes from. I also</w:t>
      </w:r>
      <w:r>
        <w:t xml:space="preserve"> </w:t>
      </w:r>
      <w:r>
        <w:t xml:space="preserve">contributed to WHO African Region reporting and seroprevalence estimation (</w:t>
      </w:r>
      <w:r>
        <w:rPr>
          <w:bCs/>
          <w:b/>
          <w:iCs/>
          <w:i/>
        </w:rPr>
        <w:t xml:space="preserve">Nat Commun</w:t>
      </w:r>
      <w:r>
        <w:t xml:space="preserve">,</w:t>
      </w:r>
      <w:r>
        <w:t xml:space="preserve"> </w:t>
      </w:r>
      <w:r>
        <w:t xml:space="preserve">Nwosu et al., 2021).</w:t>
      </w:r>
    </w:p>
    <w:bookmarkEnd w:id="31"/>
    <w:bookmarkStart w:id="32" w:name="X55aac54ce8101281e2368ead00f145672019906"/>
    <w:p>
      <w:pPr>
        <w:pStyle w:val="Heading3"/>
      </w:pPr>
      <w:r>
        <w:t xml:space="preserve">2.2.4 The instrument: LiteRev-Evidence</w:t>
      </w:r>
    </w:p>
    <w:p>
      <w:pPr>
        <w:pStyle w:val="FirstParagraph"/>
      </w:pPr>
      <w:r>
        <w:t xml:space="preserve">Since 2024 I have developed</w:t>
      </w:r>
      <w:r>
        <w:t xml:space="preserve"> </w:t>
      </w:r>
      <w:r>
        <w:rPr>
          <w:bCs/>
          <w:b/>
        </w:rPr>
        <w:t xml:space="preserve">LiteRev-Evidence</w:t>
      </w:r>
      <w:r>
        <w:t xml:space="preserve">, extending LiteRev from retrieval into</w:t>
      </w:r>
      <w:r>
        <w:t xml:space="preserve"> </w:t>
      </w:r>
      <w:r>
        <w:t xml:space="preserve">structured quantitative extraction and modelling. It is a running production system:</w:t>
      </w:r>
      <w:r>
        <w:t xml:space="preserve"> </w:t>
      </w:r>
      <w:r>
        <w:rPr>
          <w:bCs/>
          <w:b/>
        </w:rPr>
        <w:t xml:space="preserve">81,209 documents</w:t>
      </w:r>
      <w:r>
        <w:t xml:space="preserve"> </w:t>
      </w:r>
      <w:r>
        <w:t xml:space="preserve">and</w:t>
      </w:r>
      <w:r>
        <w:t xml:space="preserve"> </w:t>
      </w:r>
      <w:r>
        <w:rPr>
          <w:bCs/>
          <w:b/>
        </w:rPr>
        <w:t xml:space="preserve">323,868 embedded passages</w:t>
      </w:r>
      <w:r>
        <w:t xml:space="preserve"> </w:t>
      </w:r>
      <w:r>
        <w:t xml:space="preserve">ingested continuously from PubMed, PMC,</w:t>
      </w:r>
      <w:r>
        <w:t xml:space="preserve"> </w:t>
      </w:r>
      <w:r>
        <w:t xml:space="preserve">OpenAlex, CrossRef and preprint servers; structured extraction with provenance and quality</w:t>
      </w:r>
      <w:r>
        <w:t xml:space="preserve"> </w:t>
      </w:r>
      <w:r>
        <w:t xml:space="preserve">scoring;</w:t>
      </w:r>
      <w:r>
        <w:t xml:space="preserve"> </w:t>
      </w:r>
      <w:r>
        <w:rPr>
          <w:bCs/>
          <w:b/>
        </w:rPr>
        <w:t xml:space="preserve">quality-weighted pooling of extracted parameters into distributions</w:t>
      </w:r>
      <w:r>
        <w:t xml:space="preserve">, propagated</w:t>
      </w:r>
      <w:r>
        <w:t xml:space="preserve"> </w:t>
      </w:r>
      <w:r>
        <w:t xml:space="preserve">through ensemble simulation, the literature-to-prior mechanism this proposal interrogates, in</w:t>
      </w:r>
      <w:r>
        <w:t xml:space="preserve"> </w:t>
      </w:r>
      <w:r>
        <w:t xml:space="preserve">working form; compartmental (SEIR), time-series and machine-learning components with uncertainty</w:t>
      </w:r>
      <w:r>
        <w:t xml:space="preserve"> </w:t>
      </w:r>
      <w:r>
        <w:t xml:space="preserve">bands and calibration; connectors to MeteoSwiss, Copernicus ERA5 and Sentinelles. Thirty-one operational</w:t>
      </w:r>
      <w:r>
        <w:t xml:space="preserve"> </w:t>
      </w:r>
      <w:r>
        <w:t xml:space="preserve">scenarios exist, elaborated with emergency-medicine partners.</w:t>
      </w:r>
    </w:p>
    <w:p>
      <w:pPr>
        <w:pStyle w:val="BodyText"/>
      </w:pPr>
      <w:r>
        <w:t xml:space="preserve">For GESICA I built the Geneva–Vaud–Neuchâtel data foundation:</w:t>
      </w:r>
      <w:r>
        <w:t xml:space="preserve"> </w:t>
      </w:r>
      <w:r>
        <w:rPr>
          <w:bCs/>
          <w:b/>
        </w:rPr>
        <w:t xml:space="preserve">77 notifiable diseases</w:t>
      </w:r>
      <w:r>
        <w:rPr>
          <w:bCs/>
          <w:b/>
        </w:rPr>
        <w:t xml:space="preserve"> </w:t>
      </w:r>
      <w:r>
        <w:rPr>
          <w:bCs/>
          <w:b/>
        </w:rPr>
        <w:t xml:space="preserve">classified into eight model classes</w:t>
      </w:r>
      <w:r>
        <w:t xml:space="preserve"> </w:t>
      </w:r>
      <w:r>
        <w:t xml:space="preserve">by transmission mode, and a referenced inventory of</w:t>
      </w:r>
      <w:r>
        <w:t xml:space="preserve"> </w:t>
      </w:r>
      <w:r>
        <w:rPr>
          <w:bCs/>
          <w:b/>
        </w:rPr>
        <w:t xml:space="preserve">28 surveillance sources (23 infectious, 5 environmental/non-infectious)</w:t>
      </w:r>
      <w:r>
        <w:t xml:space="preserve">, documenting each</w:t>
      </w:r>
      <w:r>
        <w:t xml:space="preserve"> </w:t>
      </w:r>
      <w:r>
        <w:t xml:space="preserve">source's holding institution, coverage, resolution, latency, access route and quality limits. It</w:t>
      </w:r>
      <w:r>
        <w:t xml:space="preserve"> </w:t>
      </w:r>
      <w:r>
        <w:t xml:space="preserve">is why the validation domains are chosen by</w:t>
      </w:r>
      <w:r>
        <w:t xml:space="preserve"> </w:t>
      </w:r>
      <w:r>
        <w:rPr>
          <w:bCs/>
          <w:b/>
        </w:rPr>
        <w:t xml:space="preserve">model class</w:t>
      </w:r>
      <w:r>
        <w:t xml:space="preserve">, and why this proposal rests on a</w:t>
      </w:r>
      <w:r>
        <w:t xml:space="preserve"> </w:t>
      </w:r>
      <w:r>
        <w:t xml:space="preserve">mapped data landscape rather than an assumed one.</w:t>
      </w:r>
    </w:p>
    <w:p>
      <w:pPr>
        <w:pStyle w:val="BodyText"/>
      </w:pPr>
      <w:r>
        <w:rPr>
          <w:bCs/>
          <w:b/>
        </w:rPr>
        <w:t xml:space="preserve">This is what makes the research feasible rather than aspirational</w:t>
      </w:r>
      <w:r>
        <w:t xml:space="preserve">, and, as software with</w:t>
      </w:r>
      <w:r>
        <w:t xml:space="preserve"> </w:t>
      </w:r>
      <w:r>
        <w:t xml:space="preserve">independent funding behind it, a research output in its own right.</w:t>
      </w:r>
    </w:p>
    <w:bookmarkEnd w:id="32"/>
    <w:bookmarkStart w:id="33"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with technical, meteorological and territorial covariates. The linkage is, to my</w:t>
      </w:r>
      <w:r>
        <w:t xml:space="preserve"> </w:t>
      </w:r>
      <w:r>
        <w:t xml:space="preserve">knowledge, unique; it supplies a waterborne archetype whose dynamics differ fundamentally from a</w:t>
      </w:r>
      <w:r>
        <w:t xml:space="preserve"> </w:t>
      </w:r>
      <w:r>
        <w:t xml:space="preserve">respiratory epidemic's: the hardest available test of cross-crisis generalisation.</w:t>
      </w:r>
    </w:p>
    <w:bookmarkEnd w:id="33"/>
    <w:bookmarkStart w:id="34" w:name="X6e79b28f028cc357f4a31a8154d1c67813e9c78"/>
    <w:p>
      <w:pPr>
        <w:pStyle w:val="Heading3"/>
      </w:pPr>
      <w:r>
        <w:t xml:space="preserve">2.2.6 Position and competences</w:t>
      </w:r>
    </w:p>
    <w:p>
      <w:pPr>
        <w:pStyle w:val="FirstParagraph"/>
      </w:pPr>
      <w:r>
        <w:t xml:space="preserve">Through GESICA I am embedded in the Geneva emergency and public-health system: HUG emergency</w:t>
      </w:r>
      <w:r>
        <w:t xml:space="preserve"> </w:t>
      </w:r>
      <w:r>
        <w:t xml:space="preserve">medicine (Prof. Thibaut Desmettre, Dr Robert Larribau), CASU-144 and the cantonal services; my</w:t>
      </w:r>
      <w:r>
        <w:t xml:space="preserve"> </w:t>
      </w:r>
      <w:r>
        <w:t xml:space="preserve">other commitments and their delimitation are in §2.6.</w:t>
      </w:r>
    </w:p>
    <w:p>
      <w:pPr>
        <w:pStyle w:val="BodyText"/>
      </w:pPr>
      <w:r>
        <w:rPr>
          <w:bCs/>
          <w:b/>
        </w:rPr>
        <w:t xml:space="preserve">Competences required for this project.</w:t>
      </w:r>
      <w:r>
        <w:t xml:space="preserve"> </w:t>
      </w:r>
      <w:r>
        <w:t xml:space="preserve">Bayesian hierarchical and regime-switching</w:t>
      </w:r>
      <w:r>
        <w:t xml:space="preserve"> </w:t>
      </w:r>
      <w:r>
        <w:t xml:space="preserve">estimation, extreme-value modelling and stress testing under misspecification come from fifteen</w:t>
      </w:r>
      <w:r>
        <w:t xml:space="preserve"> </w:t>
      </w:r>
      <w:r>
        <w:t xml:space="preserve">years of quantitative risk work and form the core of WP2–WP3; probabilistic forecast evaluation</w:t>
      </w:r>
      <w:r>
        <w:t xml:space="preserve"> </w:t>
      </w:r>
      <w:r>
        <w:t xml:space="preserve">and decision analysis, from the same background applied to health data above. Extraction, NLP</w:t>
      </w:r>
      <w:r>
        <w:t xml:space="preserve"> </w:t>
      </w:r>
      <w:r>
        <w:t xml:space="preserve">retrieval and quality-weighted pooling come from LiteRev and LiteRev-Evidence, which I built;</w:t>
      </w:r>
      <w:r>
        <w:t xml:space="preserve"> </w:t>
      </w:r>
      <w:r>
        <w:t xml:space="preserve">domain knowledge from the doctorate, the Swiss COVID-19 work and GESICA. I program in Python and</w:t>
      </w:r>
      <w:r>
        <w:t xml:space="preserve"> </w:t>
      </w:r>
      <w:r>
        <w:t xml:space="preserve">R, with version control, HPC scheduling and secure clinical environments. French and English are</w:t>
      </w:r>
      <w:r>
        <w:t xml:space="preserve"> </w:t>
      </w:r>
      <w:r>
        <w:t xml:space="preserve">working languages.</w:t>
      </w:r>
    </w:p>
    <w:p>
      <w:pPr>
        <w:pStyle w:val="BodyText"/>
      </w:pPr>
      <w:r>
        <w:t xml:space="preserve">What I have not yet had is a programme of my own with time to run it; §2.6 takes this up.</w:t>
      </w:r>
    </w:p>
    <w:p>
      <w:r>
        <w:pict>
          <v:rect style="width:0;height:1.5pt" o:hralign="center" o:hrstd="t" o:hr="t"/>
        </w:pict>
      </w:r>
    </w:p>
    <w:bookmarkEnd w:id="34"/>
    <w:bookmarkEnd w:id="35"/>
    <w:bookmarkStart w:id="80" w:name="X648e0f2197cacfb2ee21a81ffaf34acd4f314d4"/>
    <w:p>
      <w:pPr>
        <w:pStyle w:val="Heading2"/>
      </w:pPr>
      <w:r>
        <w:t xml:space="preserve">2.3 Detailed research plan</w:t>
      </w:r>
    </w:p>
    <w:bookmarkStart w:id="47" w:name="Xc5b6cd9b30a4be694f7ca250dc7e64474c91e76"/>
    <w:p>
      <w:pPr>
        <w:pStyle w:val="Heading3"/>
      </w:pPr>
      <w:r>
        <w:t xml:space="preserve">2.3.1 Objectives and hypotheses</w:t>
      </w:r>
    </w:p>
    <w:p>
      <w:pPr>
        <w:pStyle w:val="FirstParagraph"/>
      </w:pPr>
      <w:r>
        <w:drawing>
          <wp:inline>
            <wp:extent cx="5334000" cy="2506980"/>
            <wp:effectExtent b="0" l="0" r="0" t="0"/>
            <wp:docPr descr="Framework" title="" id="37" name="Picture"/>
            <a:graphic>
              <a:graphicData uri="http://schemas.openxmlformats.org/drawingml/2006/picture">
                <pic:pic>
                  <pic:nvPicPr>
                    <pic:cNvPr descr="figures/fig1-framework.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2506980"/>
                    </a:xfrm>
                    <a:prstGeom prst="rect">
                      <a:avLst/>
                    </a:prstGeom>
                    <a:noFill/>
                    <a:ln w="9525">
                      <a:noFill/>
                      <a:headEnd/>
                      <a:tailEnd/>
                    </a:ln>
                  </pic:spPr>
                </pic:pic>
              </a:graphicData>
            </a:graphic>
          </wp:inline>
        </w:drawing>
      </w:r>
      <w:r>
        <w:t xml:space="preserve"> </w:t>
      </w:r>
      <w:r>
        <w:rPr>
          <w:iCs/>
          <w:i/>
        </w:rPr>
        <w:t xml:space="preserve">Figure 1: the cold-start problem, the evidence-borrowing hypothesis and the evaluation ladder. See</w:t>
      </w:r>
      <w:r>
        <w:rPr>
          <w:iCs/>
          <w:i/>
        </w:rPr>
        <w:t xml:space="preserve"> </w:t>
      </w:r>
      <w:r>
        <w:rPr>
          <w:rStyle w:val="VerbatimChar"/>
          <w:iCs/>
          <w:i/>
        </w:rPr>
        <w:t xml:space="preserve">figures/</w:t>
      </w:r>
      <w:r>
        <w:rPr>
          <w:iCs/>
          <w:i/>
        </w:rPr>
        <w:t xml:space="preserve">.</w:t>
      </w:r>
    </w:p>
    <w:bookmarkStart w:id="40" w:name="overall-aim"/>
    <w:p>
      <w:pPr>
        <w:pStyle w:val="Heading4"/>
      </w:pPr>
      <w:r>
        <w:t xml:space="preserve">Overall aim</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r>
        <w:t xml:space="preserve"> </w:t>
      </w:r>
      <w:r>
        <w:t xml:space="preserve">The claim is not substitution for local observation, but information carried during the window before local data become informative.</w:t>
      </w:r>
    </w:p>
    <w:p>
      <w:pPr>
        <w:pStyle w:val="BodyText"/>
      </w:pPr>
      <w:r>
        <w:t xml:space="preserve">The project has</w:t>
      </w:r>
      <w:r>
        <w:t xml:space="preserve"> </w:t>
      </w:r>
      <w:r>
        <w:rPr>
          <w:bCs/>
          <w:b/>
        </w:rPr>
        <w:t xml:space="preserve">one central hypothesis, H3a</w:t>
      </w:r>
      <w:r>
        <w:t xml:space="preserve">; everything else is subordinate to testing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Methodological 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Model adequacy criterion</w:t>
            </w:r>
          </w:p>
        </w:tc>
        <w:tc>
          <w:tcPr/>
          <w:p>
            <w:pPr>
              <w:pStyle w:val="Compact"/>
              <w:jc w:val="left"/>
            </w:pPr>
            <w:r>
              <w:t xml:space="preserve">Is the state representation fit to compare borrowing strategies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 evidence-derived priors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prior?</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any predictive gain large enough to change an operational choice?</w:t>
            </w:r>
          </w:p>
        </w:tc>
      </w:tr>
    </w:tbl>
    <w:p>
      <w:r>
        <w:pict>
          <v:rect style="width:0;height:1.5pt" o:hralign="center" o:hrstd="t" o:hr="t"/>
        </w:pict>
      </w:r>
    </w:p>
    <w:bookmarkEnd w:id="40"/>
    <w:bookmarkStart w:id="41"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recover enough of the missing dispersion to construct usable priors.</w:t>
      </w:r>
    </w:p>
    <w:p>
      <w:pPr>
        <w:pStyle w:val="FirstParagraph"/>
      </w:pPr>
      <w:r>
        <w:t xml:space="preserve">The direction is mechanistic, not asserted: omissions dominate reported extraction errors [Shankar 2026], and omitted uncertainty statements and missed variance components shrink estimated dispersion systematically, not randomly. H1 is tested on point estimates, reported uncertainty, omissions and between-study dispersion. If the predicted overconfidence is absent, that is informative; if it occurs but cannot be corrected, the project establishes a boundary condition.</w:t>
      </w:r>
    </w:p>
    <w:bookmarkEnd w:id="41"/>
    <w:bookmarkStart w:id="42"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C2 is verified rather than discovered: T2.1's identifiability study and T3.3's calibration checks either establish adequacy or trigger the pre-specified ordinal state-space fallback; either outcome leaves H3a intact. Extreme-value modelling represents the critical state's tail; critical-slowing-down indicators are</w:t>
      </w:r>
      <w:r>
        <w:t xml:space="preserve"> </w:t>
      </w:r>
      <w:r>
        <w:rPr>
          <w:bCs/>
          <w:b/>
        </w:rPr>
        <w:t xml:space="preserve">supporting, theory-derived covariates</w:t>
      </w:r>
      <w:r>
        <w:t xml:space="preserve"> </w:t>
      </w:r>
      <w:r>
        <w:t xml:space="preserve">on transition dynamics, their incremental value tested against level and trend.</w:t>
      </w:r>
    </w:p>
    <w:bookmarkEnd w:id="42"/>
    <w:bookmarkStart w:id="43"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Evidence-derived priors improve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H3b is two-sided by design: non-inferiority where the evidence is sound, superiority where it is not. The margin Δ is fixed at the second registration point, before evaluation, justified against the rung 3 → rung 4 effect the study is powered to detect: "no material loss" as a quantity, not a claim.</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t xml:space="preserve">These hypotheses are tested through the</w:t>
      </w:r>
      <w:r>
        <w:t xml:space="preserve"> </w:t>
      </w:r>
      <w:r>
        <w:rPr>
          <w:bCs/>
          <w:b/>
        </w:rPr>
        <w:t xml:space="preserve">pre-specified model ladder</w:t>
      </w:r>
      <w:r>
        <w:t xml:space="preserve"> </w:t>
      </w:r>
      <w:r>
        <w:t xml:space="preserve">of §2.3.2 (T3.3): local</w:t>
      </w:r>
      <w:r>
        <w:t xml:space="preserve"> </w:t>
      </w:r>
      <w:r>
        <w:t xml:space="preserve">baseline, regime model under weakly informative priors, the same model under fixed</w:t>
      </w:r>
      <w:r>
        <w:t xml:space="preserve"> </w:t>
      </w:r>
      <w:r>
        <w:t xml:space="preserve">evidence-derived priors, adaptive borrowing, and adaptive borrowing plus resilience indicators,</w:t>
      </w:r>
      <w:r>
        <w:t xml:space="preserve"> </w:t>
      </w:r>
      <w:r>
        <w:t xml:space="preserve">isolating each increment rather than pitting a final model against a weak baseline.</w:t>
      </w:r>
    </w:p>
    <w:p>
      <w:pPr>
        <w:pStyle w:val="BodyText"/>
      </w:pPr>
      <w:r>
        <w:rPr>
          <w:bCs/>
          <w:b/>
        </w:rPr>
        <w:t xml:space="preserve">Primary confirmatory comparison (one, stated once).</w:t>
      </w:r>
      <w:r>
        <w:t xml:space="preserve"> </w:t>
      </w:r>
      <w:r>
        <w:t xml:space="preserve">Rung 4 (fixed evidence-derived priors)</w:t>
      </w:r>
      <w:r>
        <w:t xml:space="preserve"> </w:t>
      </w:r>
      <w:r>
        <w:t xml:space="preserve">against rung 3 (weakly informative priors), by</w:t>
      </w:r>
      <w:r>
        <w:t xml:space="preserve"> </w:t>
      </w:r>
      <w:r>
        <w:rPr>
          <w:bCs/>
          <w:b/>
        </w:rPr>
        <w:t xml:space="preserve">CRPS skill score</w:t>
      </w:r>
      <w:r>
        <w:t xml:space="preserve">, over the pre-specified</w:t>
      </w:r>
      <w:r>
        <w:t xml:space="preserve"> </w:t>
      </w:r>
      <w:r>
        <w:t xml:space="preserve">cold-start window (the first</w:t>
      </w:r>
      <w:r>
        <w:t xml:space="preserve"> </w:t>
      </w:r>
      <w:r>
        <w:rPr>
          <w:iCs/>
          <w:i/>
        </w:rPr>
        <w:t xml:space="preserve">N</w:t>
      </w:r>
      <w:r>
        <w:t xml:space="preserve"> </w:t>
      </w:r>
      <w:r>
        <w:t xml:space="preserve">weeks after onset,</w:t>
      </w:r>
      <w:r>
        <w:t xml:space="preserve"> </w:t>
      </w:r>
      <w:r>
        <w:rPr>
          <w:iCs/>
          <w:i/>
        </w:rPr>
        <w:t xml:space="preserve">N</w:t>
      </w:r>
      <w:r>
        <w:t xml:space="preserve"> </w:t>
      </w:r>
      <w:r>
        <w:t xml:space="preserve">fixed at the second registration</w:t>
      </w:r>
      <w:r>
        <w:t xml:space="preserve"> </w:t>
      </w:r>
      <w:r>
        <w:t xml:space="preserve">point),</w:t>
      </w:r>
      <w:r>
        <w:t xml:space="preserve"> </w:t>
      </w:r>
      <w:r>
        <w:rPr>
          <w:bCs/>
          <w:b/>
        </w:rPr>
        <w:t xml:space="preserve">on respiratory episodes only</w:t>
      </w:r>
      <w:r>
        <w:t xml:space="preserve">, pooled across origins. Every other contrast is</w:t>
      </w:r>
      <w:r>
        <w:t xml:space="preserve"> </w:t>
      </w:r>
      <w:r>
        <w:t xml:space="preserve">secondary and labelled so. The</w:t>
      </w:r>
      <w:r>
        <w:t xml:space="preserve"> </w:t>
      </w:r>
      <w:r>
        <w:rPr>
          <w:bCs/>
          <w:b/>
        </w:rPr>
        <w:t xml:space="preserve">shape of the advantage over elapsed local data</w:t>
      </w:r>
      <w:r>
        <w:t xml:space="preserve"> </w:t>
      </w:r>
      <w:r>
        <w:t xml:space="preserve">is also</w:t>
      </w:r>
      <w:r>
        <w:t xml:space="preserve"> </w:t>
      </w:r>
      <w:r>
        <w:t xml:space="preserve">reported: it should decay to nothing; that curve is the descriptive result.</w:t>
      </w:r>
    </w:p>
    <w:p>
      <w:pPr>
        <w:pStyle w:val="BodyText"/>
      </w:pPr>
      <w:r>
        <w:rPr>
          <w:bCs/>
          <w:b/>
        </w:rPr>
        <w:t xml:space="preserve">Ordering across the two core domains.</w:t>
      </w:r>
      <w:r>
        <w:t xml:space="preserve"> </w:t>
      </w:r>
      <w:r>
        <w:t xml:space="preserve">Heat carries the same contrast as a</w:t>
      </w:r>
      <w:r>
        <w:t xml:space="preserve"> </w:t>
      </w:r>
      <w:r>
        <w:rPr>
          <w:bCs/>
          <w:b/>
        </w:rPr>
        <w:t xml:space="preserve">sequential</w:t>
      </w:r>
      <w:r>
        <w:rPr>
          <w:bCs/>
          <w:b/>
        </w:rPr>
        <w:t xml:space="preserve"> </w:t>
      </w:r>
      <w:r>
        <w:rPr>
          <w:bCs/>
          <w:b/>
        </w:rPr>
        <w:t xml:space="preserve">generalisation test</w:t>
      </w:r>
      <w:r>
        <w:t xml:space="preserve">, run only if the respiratory test is met; fixed-order testing controls</w:t>
      </w:r>
      <w:r>
        <w:t xml:space="preserve"> </w:t>
      </w:r>
      <w:r>
        <w:t xml:space="preserve">the family-wise error rate without a multiplicity penalty, and follows the science: respiratory</w:t>
      </w:r>
      <w:r>
        <w:t xml:space="preserve"> </w:t>
      </w:r>
      <w:r>
        <w:t xml:space="preserve">evidence is richest, heat transport hardest. A respiratory-positive, heat-negative result is a</w:t>
      </w:r>
      <w:r>
        <w:t xml:space="preserve"> </w:t>
      </w:r>
      <w:r>
        <w:t xml:space="preserve">boundary condition on transportability.</w:t>
      </w:r>
    </w:p>
    <w:bookmarkEnd w:id="43"/>
    <w:bookmarkStart w:id="44"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p>
      <w:pPr>
        <w:pStyle w:val="FirstParagraph"/>
      </w:pPr>
      <w:r>
        <w:t xml:space="preserve">Threshold elicitation, net benefit and counterfactuals are downstream tests of value, not novelty claims; shadow-mode evaluation is a validation extension, not a prerequisite for the main conclusion.</w:t>
      </w:r>
    </w:p>
    <w:p>
      <w:r>
        <w:pict>
          <v:rect style="width:0;height:1.5pt" o:hralign="center" o:hrstd="t" o:hr="t"/>
        </w:pict>
      </w:r>
    </w:p>
    <w:bookmarkEnd w:id="44"/>
    <w:bookmarkStart w:id="45" w:name="validation-domains"/>
    <w:p>
      <w:pPr>
        <w:pStyle w:val="Heading4"/>
      </w:pPr>
      <w:r>
        <w:t xml:space="preserve">Validation domains</w:t>
      </w:r>
    </w:p>
    <w:p>
      <w:pPr>
        <w:pStyle w:val="FirstParagraph"/>
      </w:pPr>
      <w:r>
        <w:t xml:space="preserve">The domains span</w:t>
      </w:r>
      <w:r>
        <w:t xml:space="preserve"> </w:t>
      </w:r>
      <w:r>
        <w:rPr>
          <w:bCs/>
          <w:b/>
        </w:rPr>
        <w:t xml:space="preserve">two contrasting model classes</w:t>
      </w:r>
      <w:r>
        <w:t xml:space="preserve"> </w:t>
      </w:r>
      <w:r>
        <w:t xml:space="preserve">from my GESICA classification: interhuman</w:t>
      </w:r>
      <w:r>
        <w:t xml:space="preserve"> </w:t>
      </w:r>
      <w:r>
        <w:t xml:space="preserve">respiratory transmission, and environmentally mediated exposure. Both arms score</w:t>
      </w:r>
      <w:r>
        <w:t xml:space="preserve"> </w:t>
      </w:r>
      <w:r>
        <w:rPr>
          <w:bCs/>
          <w:b/>
        </w:rPr>
        <w:t xml:space="preserve">the same</w:t>
      </w:r>
      <w:r>
        <w:rPr>
          <w:bCs/>
          <w:b/>
        </w:rPr>
        <w:t xml:space="preserve"> </w:t>
      </w:r>
      <w:r>
        <w:rPr>
          <w:bCs/>
          <w:b/>
        </w:rPr>
        <w:t xml:space="preserve">quantity, built the same way</w:t>
      </w:r>
      <w:r>
        <w:t xml:space="preserve">: daily emergency demand from the CASU-144 series, restricted to</w:t>
      </w:r>
      <w:r>
        <w:t xml:space="preserve"> </w:t>
      </w:r>
      <w:r>
        <w:t xml:space="preserve">the cause classes the archetype's evidence base concerns (T3.0). For epidemics,</w:t>
      </w:r>
      <w:r>
        <w:t xml:space="preserve"> </w:t>
      </w:r>
      <w:r>
        <w:t xml:space="preserve">respiratory-related demand; for heat,</w:t>
      </w:r>
      <w:r>
        <w:t xml:space="preserve"> </w:t>
      </w:r>
      <w:r>
        <w:rPr>
          <w:bCs/>
          <w:b/>
        </w:rPr>
        <w:t xml:space="preserve">heat-sensitive demand</w:t>
      </w:r>
      <w:r>
        <w:t xml:space="preserve">; Swiss evidence places heat</w:t>
      </w:r>
      <w:r>
        <w:t xml:space="preserve"> </w:t>
      </w:r>
      <w:r>
        <w:t xml:space="preserve">effects in dehydration, renal and psychiatric admissions, with a weak respiratory effect</w:t>
      </w:r>
      <w:r>
        <w:t xml:space="preserve"> </w:t>
      </w:r>
      <w:r>
        <w:t xml:space="preserve">concentrated at older ages [Schulte 2024; Ragettli 2019]. Scoring heat forecasts on an outcome</w:t>
      </w:r>
      <w:r>
        <w:t xml:space="preserve"> </w:t>
      </w:r>
      <w:r>
        <w:t xml:space="preserve">heat barely moves would test nothing about transport; matching each arm's outcome to its</w:t>
      </w:r>
      <w:r>
        <w:t xml:space="preserve"> </w:t>
      </w:r>
      <w:r>
        <w:t xml:space="preserve">evidence base makes the generalisation test a test of borrowing, not of the outcome definition.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Archetype</w:t>
            </w:r>
          </w:p>
        </w:tc>
        <w:tc>
          <w:tcPr/>
          <w:p>
            <w:pPr>
              <w:pStyle w:val="Compact"/>
              <w:jc w:val="left"/>
            </w:pPr>
            <w:r>
              <w:t xml:space="preserve">Role in the project</w:t>
            </w:r>
          </w:p>
        </w:tc>
        <w:tc>
          <w:tcPr/>
          <w:p>
            <w:pPr>
              <w:pStyle w:val="Compact"/>
              <w:jc w:val="left"/>
            </w:pPr>
            <w:r>
              <w:t xml:space="preserve">Dynamics</w:t>
            </w:r>
          </w:p>
        </w:tc>
        <w:tc>
          <w:tcPr/>
          <w:p>
            <w:pPr>
              <w:pStyle w:val="Compact"/>
              <w:jc w:val="left"/>
            </w:pPr>
            <w:r>
              <w:t xml:space="preserve">Outcome and data</w:t>
            </w:r>
          </w:p>
        </w:tc>
      </w:tr>
      <w:tr>
        <w:tc>
          <w:tcPr/>
          <w:p>
            <w:pPr>
              <w:pStyle w:val="Compact"/>
              <w:jc w:val="left"/>
            </w:pPr>
            <w:r>
              <w:rPr>
                <w:bCs/>
                <w:b/>
              </w:rPr>
              <w:t xml:space="preserve">Respiratory epidemic</w:t>
            </w:r>
          </w:p>
        </w:tc>
        <w:tc>
          <w:tcPr/>
          <w:p>
            <w:pPr>
              <w:pStyle w:val="Compact"/>
              <w:jc w:val="left"/>
            </w:pPr>
            <w:r>
              <w:t xml:space="preserve">Primary confirmatory domain</w:t>
            </w:r>
          </w:p>
        </w:tc>
        <w:tc>
          <w:tcPr/>
          <w:p>
            <w:pPr>
              <w:pStyle w:val="Compact"/>
              <w:jc w:val="left"/>
            </w:pPr>
            <w:r>
              <w:t xml:space="preserve">Transmissible, multi-wave, seasonal</w:t>
            </w:r>
          </w:p>
        </w:tc>
        <w:tc>
          <w:tcPr/>
          <w:p>
            <w:pPr>
              <w:pStyle w:val="Compact"/>
              <w:jc w:val="left"/>
            </w:pPr>
            <w:r>
              <w:t xml:space="preserve">Respiratory-related demand; COVID-19 and influenza principal, RSV supporting</w:t>
            </w:r>
          </w:p>
        </w:tc>
      </w:tr>
      <w:tr>
        <w:tc>
          <w:tcPr/>
          <w:p>
            <w:pPr>
              <w:pStyle w:val="Compact"/>
              <w:jc w:val="left"/>
            </w:pPr>
            <w:r>
              <w:rPr>
                <w:bCs/>
                <w:b/>
              </w:rPr>
              <w:t xml:space="preserve">Heatwave</w:t>
            </w:r>
          </w:p>
        </w:tc>
        <w:tc>
          <w:tcPr/>
          <w:p>
            <w:pPr>
              <w:pStyle w:val="Compact"/>
              <w:jc w:val="left"/>
            </w:pPr>
            <w:r>
              <w:t xml:space="preserve">Sequential generalisation test</w:t>
            </w:r>
          </w:p>
        </w:tc>
        <w:tc>
          <w:tcPr/>
          <w:p>
            <w:pPr>
              <w:pStyle w:val="Compact"/>
              <w:jc w:val="left"/>
            </w:pPr>
            <w:r>
              <w:t xml:space="preserve">Environmental, short and sharply peaked</w:t>
            </w:r>
          </w:p>
        </w:tc>
        <w:tc>
          <w:tcPr/>
          <w:p>
            <w:pPr>
              <w:pStyle w:val="Compact"/>
              <w:jc w:val="left"/>
            </w:pPr>
            <w:r>
              <w:t xml:space="preserve">Heat-sensitive demand, same series and construction; MeteoSwiss exposures</w:t>
            </w:r>
          </w:p>
        </w:tc>
      </w:tr>
      <w:tr>
        <w:tc>
          <w:tcPr/>
          <w:p>
            <w:pPr>
              <w:pStyle w:val="Compact"/>
              <w:jc w:val="left"/>
            </w:pPr>
            <w:r>
              <w:rPr>
                <w:bCs/>
                <w:b/>
              </w:rPr>
              <w:t xml:space="preserve">Waterborne outbreak</w:t>
            </w:r>
          </w:p>
        </w:tc>
        <w:tc>
          <w:tcPr/>
          <w:p>
            <w:pPr>
              <w:pStyle w:val="Compact"/>
              <w:jc w:val="left"/>
            </w:pPr>
            <w:r>
              <w:t xml:space="preserve">Year-4 extension</w:t>
            </w:r>
          </w:p>
        </w:tc>
        <w:tc>
          <w:tcPr/>
          <w:p>
            <w:pPr>
              <w:pStyle w:val="Compact"/>
              <w:jc w:val="left"/>
            </w:pPr>
            <w:r>
              <w:t xml:space="preserve">Common-source / environmentally mediated</w:t>
            </w:r>
          </w:p>
        </w:tc>
        <w:tc>
          <w:tcPr/>
          <w:p>
            <w:pPr>
              <w:pStyle w:val="Compact"/>
              <w:jc w:val="left"/>
            </w:pPr>
            <w:r>
              <w:t xml:space="preserve">Geneva legionellosis linked to installations</w:t>
            </w:r>
          </w:p>
        </w:tc>
      </w:tr>
    </w:tbl>
    <w:p>
      <w:pPr>
        <w:pStyle w:val="BodyText"/>
      </w:pPr>
      <w:r>
        <w:t xml:space="preserve">The first domain carries the confirmatory claim; the second tests generalisation across mechanism, evidence base and outcome window at once, the demanding transport test. The third tests a substantially different mechanism; its omission does not invalidate the main result.</w:t>
      </w:r>
    </w:p>
    <w:bookmarkEnd w:id="45"/>
    <w:bookmarkStart w:id="46"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claim critical slowing down as universal, or promise a deployed clinical alarm system by month 48. The contribution is narrower:</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6"/>
    <w:bookmarkEnd w:id="47"/>
    <w:bookmarkStart w:id="74" w:name="X7638ec2bcf1f605f5e9c309229fda3948dd7274"/>
    <w:p>
      <w:pPr>
        <w:pStyle w:val="Heading3"/>
      </w:pPr>
      <w:r>
        <w:t xml:space="preserve">2.3.2 Work packages and methods</w:t>
      </w:r>
    </w:p>
    <w:p>
      <w:pPr>
        <w:pStyle w:val="FirstParagraph"/>
      </w:pPr>
      <w:r>
        <w:t xml:space="preserve">Four work packages over 48 months, built around the central experiment:</w:t>
      </w:r>
      <w:r>
        <w:t xml:space="preserve"> </w:t>
      </w:r>
      <w:r>
        <w:rPr>
          <w:bCs/>
          <w:b/>
        </w:rPr>
        <w:t xml:space="preserve">does borrowing quantitative evidence improve forecasting before local outcomes become informative?</w:t>
      </w:r>
      <w:r>
        <w:t xml:space="preserve"> </w:t>
      </w:r>
      <w:r>
        <w:t xml:space="preserve">WP1 establishes whether the evidence can be trusted; WP2 supplies the common state representation; WP3 is the decisive cold-start evaluation; WP4 translates predictive differences into operational value.</w:t>
      </w:r>
    </w:p>
    <w:p>
      <w:r>
        <w:pict>
          <v:rect style="width:0;height:1.5pt" o:hralign="center" o:hrstd="t" o:hr="t"/>
        </w:pict>
      </w:r>
    </w:p>
    <w:bookmarkStart w:id="53" w:name="X002b48ad99ef7a015f0c8b3d513a5be8cd69f24"/>
    <w:p>
      <w:pPr>
        <w:pStyle w:val="Heading4"/>
      </w:pPr>
      <w:r>
        <w:t xml:space="preserve">WP1: From published evidence to usable priors</w:t>
      </w:r>
      <w:r>
        <w:t xml:space="preserve"> </w:t>
      </w:r>
      <w:r>
        <w:rPr>
          <w:iCs/>
          <w:i/>
        </w:rPr>
        <w:t xml:space="preserve">(M1–M20)</w:t>
      </w:r>
    </w:p>
    <w:p>
      <w:pPr>
        <w:pStyle w:val="FirstParagraph"/>
      </w:pPr>
      <w:r>
        <w:rPr>
          <w:bCs/>
          <w:b/>
        </w:rPr>
        <w:t xml:space="preserve">Question.</w:t>
      </w:r>
      <w:r>
        <w:t xml:space="preserve"> </w:t>
      </w:r>
      <w:r>
        <w:t xml:space="preserve">Can quantitative estimates be extracted and pooled without making the resulting prior falsely precise?</w:t>
      </w:r>
    </w:p>
    <w:bookmarkStart w:id="48"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t xml:space="preserve">Pre-specify the parameter classes by whether they enter the primary forecasting problem.</w:t>
      </w:r>
    </w:p>
    <w:p>
      <w:pPr>
        <w:pStyle w:val="BodyText"/>
      </w:pPr>
      <w:r>
        <w:rPr>
          <w:bCs/>
          <w:b/>
        </w:rPr>
        <w:t xml:space="preserve">Core (extracted and benchmarked in full).</w:t>
      </w:r>
      <w:r>
        <w:t xml:space="preserve"> </w:t>
      </w:r>
      <w:r>
        <w:t xml:space="preserve">The quantities the demand model consumes:</w:t>
      </w:r>
      <w:r>
        <w:t xml:space="preserve"> </w:t>
      </w:r>
      <w:r>
        <w:rPr>
          <w:bCs/>
          <w:b/>
        </w:rPr>
        <w:t xml:space="preserve">weather–demand associations</w:t>
      </w:r>
      <w:r>
        <w:t xml:space="preserve">,</w:t>
      </w:r>
      <w:r>
        <w:t xml:space="preserve"> </w:t>
      </w:r>
      <w:r>
        <w:rPr>
          <w:bCs/>
          <w:b/>
        </w:rPr>
        <w:t xml:space="preserve">surge magnitudes</w:t>
      </w:r>
      <w:r>
        <w:t xml:space="preserve"> </w:t>
      </w:r>
      <w:r>
        <w:t xml:space="preserve">(peak-to-baseline ratios),</w:t>
      </w:r>
      <w:r>
        <w:t xml:space="preserve"> </w:t>
      </w:r>
      <w:r>
        <w:rPr>
          <w:bCs/>
          <w:b/>
        </w:rPr>
        <w:t xml:space="preserve">length-of-stay / occupancy distributions</w:t>
      </w:r>
      <w:r>
        <w:t xml:space="preserve">.</w:t>
      </w:r>
    </w:p>
    <w:p>
      <w:pPr>
        <w:pStyle w:val="BodyText"/>
      </w:pPr>
      <w:r>
        <w:rPr>
          <w:bCs/>
          <w:b/>
        </w:rPr>
        <w:t xml:space="preserve">Secondary (only if core work completes on schedule).</w:t>
      </w:r>
      <w:r>
        <w:t xml:space="preserve"> </w:t>
      </w:r>
      <w:r>
        <w:rPr>
          <w:bCs/>
          <w:b/>
        </w:rPr>
        <w:t xml:space="preserve">Transmission parameters</w:t>
      </w:r>
      <w:r>
        <w:t xml:space="preserve"> </w:t>
      </w:r>
      <w:r>
        <w:t xml:space="preserve">and</w:t>
      </w:r>
      <w:r>
        <w:t xml:space="preserve"> </w:t>
      </w:r>
      <w:r>
        <w:rPr>
          <w:bCs/>
          <w:b/>
        </w:rPr>
        <w:t xml:space="preserve">shedding-to-incidence conversions</w:t>
      </w:r>
      <w:r>
        <w:t xml:space="preserve"> </w:t>
      </w:r>
      <w:r>
        <w:t xml:space="preserve">(the second bridges wastewater and expected presentations), but the primary outcome is demand, not incidence, so neither is on the critical path.</w:t>
      </w:r>
    </w:p>
    <w:p>
      <w:pPr>
        <w:pStyle w:val="BodyText"/>
      </w:pPr>
      <w:r>
        <w:t xml:space="preserve">Inclusion criteria, effect measures, uncertainty representation and transportability variables are fixed first.</w:t>
      </w:r>
    </w:p>
    <w:bookmarkEnd w:id="48"/>
    <w:bookmarkStart w:id="49"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Two independent expert extractors manually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article versus timestamped situational report), so extraction error is characterised separately for the faster sources of T3.2's secondary prior variant. The benchmark is an open deliverable in its own right.</w:t>
      </w:r>
    </w:p>
    <w:bookmarkEnd w:id="49"/>
    <w:bookmarkStart w:id="50"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The question is not whether an LLM finds a number, but whether the emerging distribution still carries the uncertainty quantitative borrowing needs. Test sensitivity to the underlying model version so the result is not tied to one implementation.</w:t>
      </w:r>
    </w:p>
    <w:bookmarkEnd w:id="50"/>
    <w:bookmarkStart w:id="51"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evidence-synthesis and borrowing strategies: inverse-variance and quality-weighted pooling, meta-analytic-predictive priors, power-prior discounting. The output is a prior with provenance, extraction uncertainty and a documented borrowing weight.</w:t>
      </w:r>
    </w:p>
    <w:bookmarkEnd w:id="51"/>
    <w:bookmarkStart w:id="52"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rather than treat studies as exchangeable, producing the metadata WP3's conflict analysis needs.</w:t>
      </w:r>
    </w:p>
    <w:p>
      <w:pPr>
        <w:pStyle w:val="BodyText"/>
      </w:pPr>
      <w:r>
        <w:rPr>
          <w:bCs/>
          <w:b/>
        </w:rPr>
        <w:t xml:space="preserve">Deliverables.</w:t>
      </w:r>
      <w:r>
        <w:t xml:space="preserve"> </w:t>
      </w:r>
      <w:r>
        <w:t xml:space="preserve">D1.1 open benchmark; D1.2 extraction-error analysis; D1.3 evidence-to-prior library with provenance, extraction uncertainty and transportability metadata.</w:t>
      </w:r>
    </w:p>
    <w:p>
      <w:pPr>
        <w:pStyle w:val="BodyText"/>
      </w:pPr>
      <w:r>
        <w:rPr>
          <w:bCs/>
          <w:b/>
        </w:rPr>
        <w:t xml:space="preserve">Risk.</w:t>
      </w:r>
      <w:r>
        <w:t xml:space="preserve"> </w:t>
      </w:r>
      <w:r>
        <w:t xml:space="preserve">Manual extraction is expensive.</w:t>
      </w:r>
      <w:r>
        <w:t xml:space="preserve"> </w:t>
      </w:r>
      <w:r>
        <w:rPr>
          <w:iCs/>
          <w:i/>
        </w:rPr>
        <w:t xml:space="preserve">Mitigation:</w:t>
      </w:r>
      <w:r>
        <w:t xml:space="preserve"> </w:t>
      </w:r>
      <w:r>
        <w:t xml:space="preserve">sample size is set by simulation for the dispersion quantity that matters; if expert time binds, the benchmark narrows to the core validation's parameter classes. Support staff carry only bounded extraction/data-engineering tasks.</w:t>
      </w:r>
    </w:p>
    <w:p>
      <w:r>
        <w:pict>
          <v:rect style="width:0;height:1.5pt" o:hralign="center" o:hrstd="t" o:hr="t"/>
        </w:pict>
      </w:r>
    </w:p>
    <w:bookmarkEnd w:id="52"/>
    <w:bookmarkEnd w:id="53"/>
    <w:bookmarkStart w:id="59" w:name="X96361259bb603d8d0d63166386752c7f2a90aae"/>
    <w:p>
      <w:pPr>
        <w:pStyle w:val="Heading4"/>
      </w:pPr>
      <w:r>
        <w:t xml:space="preserve">WP2: A parsimonious model of health-system escalation</w:t>
      </w:r>
      <w:r>
        <w:t xml:space="preserve"> </w:t>
      </w:r>
      <w:r>
        <w:rPr>
          <w:iCs/>
          <w:i/>
        </w:rPr>
        <w:t xml:space="preserve">(M1–M28)</w:t>
      </w:r>
    </w:p>
    <w:p>
      <w:pPr>
        <w:pStyle w:val="FirstParagraph"/>
      </w:pPr>
      <w:r>
        <w:rPr>
          <w:bCs/>
          <w:b/>
        </w:rPr>
        <w:t xml:space="preserve">Question.</w:t>
      </w:r>
      <w:r>
        <w:t xml:space="preserve"> </w:t>
      </w:r>
      <w:r>
        <w:t xml:space="preserve">Can escalation be represented as a latent state process so that the contribution of prior information can be tested cleanly?</w:t>
      </w:r>
    </w:p>
    <w:bookmarkStart w:id="54"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Develop a Bayesian hierarchical Markov regime-switching model [Hamilton 1989] with an ordinal latent state</w:t>
      </w:r>
      <w:r>
        <w:t xml:space="preserve"> </w:t>
      </w:r>
      <w:r>
        <w:rPr>
          <w:rStyle w:val="VerbatimChar"/>
        </w:rPr>
        <w:t xml:space="preserve">S(t) ∈ {routine, elevated, strained, critical}</w:t>
      </w:r>
      <w:r>
        <w:t xml:space="preserve"> </w:t>
      </w:r>
      <w:r>
        <w:t xml:space="preserve">observed through emergency calls, ED presentations and intensive-care occupancy. Covariates: pre-specified weather, calendar and epidemic indicators. Series-specific observation models share the latent state with different levels, dispersion and reporting delays.</w:t>
      </w:r>
    </w:p>
    <w:p>
      <w:pPr>
        <w:pStyle w:val="BodyText"/>
      </w:pPr>
      <w:r>
        <w:t xml:space="preserve">Before fitting real data, run simulation-based identifiability and recovery experiments. Ordering constraints resolve label switching; if regime separation is insufficient, the pre-specified fallback is an ordinal state-space formulation. The criterion is recovery of states and transition probabilities, not visual fit.</w:t>
      </w:r>
    </w:p>
    <w:bookmarkEnd w:id="54"/>
    <w:bookmarkStart w:id="55" w:name="t22-represent-the-critical-tail-m6m14"/>
    <w:p>
      <w:pPr>
        <w:pStyle w:val="Heading5"/>
      </w:pPr>
      <w:r>
        <w:t xml:space="preserve">T2.2: Represent the critical tail</w:t>
      </w:r>
      <w:r>
        <w:t xml:space="preserve"> </w:t>
      </w:r>
      <w:r>
        <w:rPr>
          <w:iCs/>
          <w:i/>
        </w:rPr>
        <w:t xml:space="preserve">(M6–M14)</w:t>
      </w:r>
    </w:p>
    <w:p>
      <w:pPr>
        <w:pStyle w:val="FirstParagraph"/>
      </w:pPr>
      <w:r>
        <w:t xml:space="preserve">Use peaks-over-threshold/generalised Pareto modelling for rare exceedances, coupled to the critical-state probability, with threshold sensitivity reported. The tail model is a supporting representation of rare severity, not a separate objective.</w:t>
      </w:r>
    </w:p>
    <w:bookmarkEnd w:id="55"/>
    <w:bookmarkStart w:id="56"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transition/recovery characteristics. Compare three borrowing mechanisms (weakly informative, fixed evidence-derived, adaptive robust), so the evaluation distinguishes the value of evidence from the value of the regime representation.</w:t>
      </w:r>
    </w:p>
    <w:p>
      <w:pPr>
        <w:pStyle w:val="BodyText"/>
      </w:pPr>
      <w:r>
        <w:t xml:space="preserve">The adaptive specification is a robust mixture of an evidence-derived and a weakly informative component, prior–data conflict recorded explicitly; the model cannot "prove" the prior appropriate by generating plausible trajectories. Power-prior and commensurate-prior approaches are sensitivity comparators, not additional claims.</w:t>
      </w:r>
    </w:p>
    <w:bookmarkEnd w:id="56"/>
    <w:bookmarkStart w:id="57"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Compute rolling variance and lag-1 autocorrelation with pre-specified sensitivity analyses, entered as optional covariates on transition dynamics. Their role is secondary: whether they add information beyond level/trend and the evidence prior. A null result is acceptable and interpretable.</w:t>
      </w:r>
    </w:p>
    <w:bookmarkEnd w:id="57"/>
    <w:bookmarkStart w:id="58" w:name="X38921f172612dea664f39e2fc1efbe804347bc2"/>
    <w:p>
      <w:pPr>
        <w:pStyle w:val="Heading5"/>
      </w:pPr>
      <w:r>
        <w:t xml:space="preserve">T2.5: Calibration and implementation</w:t>
      </w:r>
      <w:r>
        <w:t xml:space="preserve"> </w:t>
      </w:r>
      <w:r>
        <w:rPr>
          <w:iCs/>
          <w:i/>
        </w:rPr>
        <w:t xml:space="preserve">(M20–M28)</w:t>
      </w:r>
    </w:p>
    <w:p>
      <w:pPr>
        <w:pStyle w:val="FirstParagraph"/>
      </w:pPr>
      <w:r>
        <w:t xml:space="preserve">Use calibration methods suited to temporal dependence to assess predictive coverage. A conformal component [Angelopoulos 2023; Barber 2023] may serve as a robustness layer if simulation confirms the chosen temporal formulation supports its assumptions, not a headline claim of universal coverage. Release a documented reference implementation integrated with LiteRev-Evidence.</w:t>
      </w:r>
    </w:p>
    <w:p>
      <w:pPr>
        <w:pStyle w:val="BodyText"/>
      </w:pPr>
      <w:r>
        <w:rPr>
          <w:bCs/>
          <w:b/>
        </w:rPr>
        <w:t xml:space="preserve">Simulation is prior information, not data.</w:t>
      </w:r>
      <w:r>
        <w:t xml:space="preserve"> </w:t>
      </w:r>
      <w:r>
        <w:t xml:space="preserve">A mechanistic model parameterised from the literature can generate arbitrarily many trajectories, but fitting to them as if independent observations would count the same prior information twice and disable the prior–data discrepancy diagnostic H3b depends on. Mechanistic simulation is used only for characterising an intractable likelihood, structural constraints, identifiability/recovery studies and prior predictive checking. Generated trajectories are never observations, and never tighten the evidence prior.</w:t>
      </w:r>
    </w:p>
    <w:p>
      <w:pPr>
        <w:pStyle w:val="BodyText"/>
      </w:pPr>
      <w:r>
        <w:rPr>
          <w:bCs/>
          <w:b/>
        </w:rPr>
        <w:t xml:space="preserve">Deliverables.</w:t>
      </w:r>
      <w:r>
        <w:t xml:space="preserve"> </w:t>
      </w:r>
      <w:r>
        <w:t xml:space="preserve">D2.1 model specification and identifiability study; D2.2 open implementation; D2.3 methodological paper on latent health-system escalation and evidence-informed borrowing.</w:t>
      </w:r>
    </w:p>
    <w:p>
      <w:pPr>
        <w:pStyle w:val="BodyText"/>
      </w:pPr>
      <w:r>
        <w:rPr>
          <w:bCs/>
          <w:b/>
        </w:rPr>
        <w:t xml:space="preserve">Risk.</w:t>
      </w:r>
      <w:r>
        <w:t xml:space="preserve"> </w:t>
      </w:r>
      <w:r>
        <w:t xml:space="preserve">Too few distinct regime transitions or weak separation.</w:t>
      </w:r>
      <w:r>
        <w:t xml:space="preserve"> </w:t>
      </w:r>
      <w:r>
        <w:rPr>
          <w:iCs/>
          <w:i/>
        </w:rPr>
        <w:t xml:space="preserve">Mitigation:</w:t>
      </w:r>
      <w:r>
        <w:t xml:space="preserve"> </w:t>
      </w:r>
      <w:r>
        <w:t xml:space="preserve">simulation before application; the ordinal state-space fallback; report the identifiability boundary as a result rather than tuning until success.</w:t>
      </w:r>
    </w:p>
    <w:p>
      <w:r>
        <w:pict>
          <v:rect style="width:0;height:1.5pt" o:hralign="center" o:hrstd="t" o:hr="t"/>
        </w:pict>
      </w:r>
    </w:p>
    <w:bookmarkEnd w:id="58"/>
    <w:bookmarkEnd w:id="59"/>
    <w:bookmarkStart w:id="66" w:name="X3621a3c2966e02ae9abd610739842be4cccf549"/>
    <w:p>
      <w:pPr>
        <w:pStyle w:val="Heading4"/>
      </w:pPr>
      <w:r>
        <w:t xml:space="preserve">WP3: The decisive cold-start experiment</w:t>
      </w:r>
      <w:r>
        <w:t xml:space="preserve"> </w:t>
      </w:r>
      <w:r>
        <w:rPr>
          <w:iCs/>
          <w:i/>
        </w:rPr>
        <w:t xml:space="preserve">(M12–M42)</w:t>
      </w:r>
    </w:p>
    <w:p>
      <w:pPr>
        <w:pStyle w:val="FirstParagraph"/>
      </w:pPr>
      <w:r>
        <w:rPr>
          <w:bCs/>
          <w:b/>
        </w:rPr>
        <w:t xml:space="preserve">Question.</w:t>
      </w:r>
      <w:r>
        <w:t xml:space="preserve"> </w:t>
      </w:r>
      <w:r>
        <w:t xml:space="preserve">Do evidence-derived priors improve forecasting when local outcome data are scarce, and when do they become harmful?</w:t>
      </w:r>
    </w:p>
    <w:bookmarkStart w:id="60"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Three things are fixed before any evaluation is designed and may not be revisited in response to</w:t>
      </w:r>
      <w:r>
        <w:t xml:space="preserve"> </w:t>
      </w:r>
      <w:r>
        <w:t xml:space="preserve">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w:t>
      </w:r>
      <w:r>
        <w:rPr>
          <w:bCs/>
          <w:b/>
        </w:rPr>
        <w:t xml:space="preserve"> </w:t>
      </w:r>
      <w:r>
        <w:rPr>
          <w:bCs/>
          <w:b/>
        </w:rPr>
        <w:t xml:space="preserve">CASU-144 records</w:t>
      </w:r>
      <w:r>
        <w:t xml:space="preserve">, not a raw call count, which is a care-seeking signal rather than a demand</w:t>
      </w:r>
      <w:r>
        <w:t xml:space="preserve"> </w:t>
      </w:r>
      <w:r>
        <w:t xml:space="preserve">measure. "Respiratory-related" is built by a pre-registered classification of recorded call</w:t>
      </w:r>
      <w:r>
        <w:t xml:space="preserve"> </w:t>
      </w:r>
      <w:r>
        <w:t xml:space="preserve">reasons and urgency levels, with sensitivity to the construction reported.</w:t>
      </w:r>
      <w:r>
        <w:t xml:space="preserve"> </w:t>
      </w:r>
      <w:r>
        <w:rPr>
          <w:bCs/>
          <w:b/>
        </w:rPr>
        <w:t xml:space="preserve">The heat arm scores heat-sensitive demand</w:t>
      </w:r>
      <w:r>
        <w:t xml:space="preserve">: the same</w:t>
      </w:r>
      <w:r>
        <w:t xml:space="preserve"> </w:t>
      </w:r>
      <w:r>
        <w:t xml:space="preserve">series and construction, restricted to cause classes fixed at registration (dehydration, renal</w:t>
      </w:r>
      <w:r>
        <w:t xml:space="preserve"> </w:t>
      </w:r>
      <w:r>
        <w:t xml:space="preserve">and psychiatric presentations, per the Swiss evidence), with respiratory-restricted and 75+</w:t>
      </w:r>
      <w:r>
        <w:t xml:space="preserve"> </w:t>
      </w:r>
      <w:r>
        <w:t xml:space="preserve">analyses as sensitivities.</w:t>
      </w:r>
      <w:r>
        <w:t xml:space="preserve"> </w:t>
      </w:r>
      <w:r>
        <w:rPr>
          <w:bCs/>
          <w:b/>
        </w:rPr>
        <w:t xml:space="preserve">The primary claim is scoped to what the series measures</w:t>
      </w:r>
      <w:r>
        <w:t xml:space="preserve">:</w:t>
      </w:r>
      <w:r>
        <w:t xml:space="preserve"> </w:t>
      </w:r>
      <w:r>
        <w:t xml:space="preserve">the operational demand signal observed by the dispatch system; broader hospital-demand claims</w:t>
      </w:r>
      <w:r>
        <w:t xml:space="preserve"> </w:t>
      </w:r>
      <w:r>
        <w:t xml:space="preserve">are made only where validated against the ED and ICU channels. Emergency department presentations and intensive care occupancy,</w:t>
      </w:r>
      <w:r>
        <w:t xml:space="preserve"> </w:t>
      </w:r>
      <w:r>
        <w:t xml:space="preserve">where obtained, enter as</w:t>
      </w:r>
      <w:r>
        <w:t xml:space="preserve"> </w:t>
      </w:r>
      <w:r>
        <w:rPr>
          <w:bCs/>
          <w:b/>
        </w:rPr>
        <w:t xml:space="preserve">additional observation channels on the shared latent state</w:t>
      </w:r>
      <w:r>
        <w:t xml:space="preserve">;</w:t>
      </w:r>
      <w:r>
        <w:t xml:space="preserve"> </w:t>
      </w:r>
      <w:r>
        <w:t xml:space="preserve">wastewater, sentinel consultations and weather as signals and covariates. Nothing obtained is</w:t>
      </w:r>
      <w:r>
        <w:t xml:space="preserve"> </w:t>
      </w:r>
      <w:r>
        <w:t xml:space="preserve">discarded; the hierarchy governs only which series H3a is scored on.</w:t>
      </w:r>
    </w:p>
    <w:p>
      <w:pPr>
        <w:pStyle w:val="BodyText"/>
      </w:pPr>
      <w:r>
        <w:rPr>
          <w:bCs/>
          <w:b/>
        </w:rPr>
        <w:t xml:space="preserve">Data-access gate.</w:t>
      </w:r>
      <w:r>
        <w:t xml:space="preserve"> </w:t>
      </w:r>
      <w:r>
        <w:t xml:space="preserve">Each candidate outcome must satisfy criteria fixed in advance for</w:t>
      </w:r>
      <w:r>
        <w:t xml:space="preserve"> </w:t>
      </w:r>
      <w:r>
        <w:rPr>
          <w:bCs/>
          <w:b/>
        </w:rPr>
        <w:t xml:space="preserve">historical depth, temporal resolution, reporting latency and completeness</w:t>
      </w:r>
      <w:r>
        <w:t xml:space="preserve">, thresholds</w:t>
      </w:r>
      <w:r>
        <w:t xml:space="preserve"> </w:t>
      </w:r>
      <w:r>
        <w:t xml:space="preserve">registered with the protocol. The primary outcome is selected at a pre-specified checkpoint</w:t>
      </w:r>
      <w:r>
        <w:t xml:space="preserve"> </w:t>
      </w:r>
      <w:r>
        <w:t xml:space="preserve">(month 12), on those criteria alone.</w:t>
      </w:r>
    </w:p>
    <w:p>
      <w:pPr>
        <w:pStyle w:val="BodyText"/>
      </w:pPr>
      <w:r>
        <w:rPr>
          <w:bCs/>
          <w:b/>
        </w:rPr>
        <w:t xml:space="preserve">Episode eligibility.</w:t>
      </w:r>
      <w:r>
        <w:t xml:space="preserve"> </w:t>
      </w:r>
      <w:r>
        <w:t xml:space="preserve">An episode enters the confirmatory evaluation only if all of these</w:t>
      </w:r>
      <w:r>
        <w:t xml:space="preserve"> </w:t>
      </w:r>
      <w:r>
        <w:t xml:space="preserve">are prospectively reconstructable across the window:</w:t>
      </w:r>
    </w:p>
    <w:p>
      <w:pPr>
        <w:numPr>
          <w:ilvl w:val="0"/>
          <w:numId w:val="1001"/>
        </w:numPr>
        <w:pStyle w:val="Compact"/>
      </w:pPr>
      <w:r>
        <w:t xml:space="preserve">a detectable onset under the prospective onset rule;</w:t>
      </w:r>
    </w:p>
    <w:p>
      <w:pPr>
        <w:numPr>
          <w:ilvl w:val="0"/>
          <w:numId w:val="1001"/>
        </w:numPr>
        <w:pStyle w:val="Compact"/>
      </w:pPr>
      <w:r>
        <w:t xml:space="preserve">enough pre-onset history for the rolling baseline that rule requires;</w:t>
      </w:r>
    </w:p>
    <w:p>
      <w:pPr>
        <w:numPr>
          <w:ilvl w:val="0"/>
          <w:numId w:val="1001"/>
        </w:numPr>
        <w:pStyle w:val="Compact"/>
      </w:pPr>
      <w:r>
        <w:t xml:space="preserve">enough post-onset outcome observations at the primary horizon;</w:t>
      </w:r>
    </w:p>
    <w:p>
      <w:pPr>
        <w:numPr>
          <w:ilvl w:val="0"/>
          <w:numId w:val="1001"/>
        </w:numPr>
        <w:pStyle w:val="Compact"/>
      </w:pPr>
      <w:r>
        <w:t xml:space="preserve">the external evidence</w:t>
      </w:r>
      <w:r>
        <w:t xml:space="preserve"> </w:t>
      </w:r>
      <w:r>
        <w:rPr>
          <w:bCs/>
          <w:b/>
        </w:rPr>
        <w:t xml:space="preserve">as it stood at the historical origin</w:t>
      </w:r>
      <w:r>
        <w:t xml:space="preserve">;</w:t>
      </w:r>
    </w:p>
    <w:p>
      <w:pPr>
        <w:numPr>
          <w:ilvl w:val="0"/>
          <w:numId w:val="1001"/>
        </w:numPr>
        <w:pStyle w:val="Compact"/>
      </w:pPr>
      <w:r>
        <w:t xml:space="preserve">no leakage of future information into any input;</w:t>
      </w:r>
    </w:p>
    <w:p>
      <w:pPr>
        <w:numPr>
          <w:ilvl w:val="0"/>
          <w:numId w:val="1001"/>
        </w:numPr>
        <w:pStyle w:val="Compact"/>
      </w:pPr>
      <w:r>
        <w:t xml:space="preserve">separation from adjacent episodes, so one prolonged wave is not counted as several.</w:t>
      </w:r>
    </w:p>
    <w:p>
      <w:pPr>
        <w:pStyle w:val="FirstParagraph"/>
      </w:pPr>
      <w:r>
        <w:t xml:space="preserve">Episodes failing any criterion remain available for descriptive and sensitivity analysis but not</w:t>
      </w:r>
      <w:r>
        <w:t xml:space="preserve"> </w:t>
      </w:r>
      <w:r>
        <w:t xml:space="preserve">for the confirmatory comparison.</w:t>
      </w:r>
      <w:r>
        <w:t xml:space="preserve"> </w:t>
      </w:r>
      <w:r>
        <w:rPr>
          <w:bCs/>
          <w:b/>
        </w:rPr>
        <w:t xml:space="preserve">At demand level, co-circulating pathogens form one episode</w:t>
      </w:r>
      <w:r>
        <w:t xml:space="preserve">:</w:t>
      </w:r>
      <w:r>
        <w:t xml:space="preserve"> </w:t>
      </w:r>
      <w:r>
        <w:t xml:space="preserve">a winter with concurrent influenza and RSV is one demand surge, not two.</w:t>
      </w:r>
    </w:p>
    <w:p>
      <w:pPr>
        <w:pStyle w:val="BodyText"/>
      </w:pPr>
      <w:r>
        <w:rPr>
          <w:bCs/>
          <w:b/>
        </w:rPr>
        <w:t xml:space="preserve">Two registration points.</w:t>
      </w:r>
      <w:r>
        <w:t xml:space="preserve"> </w:t>
      </w:r>
      <w:r>
        <w:t xml:space="preserve">The hierarchy, gate criteria and eligibility rule are registered</w:t>
      </w:r>
      <w:r>
        <w:t xml:space="preserve"> </w:t>
      </w:r>
      <w:r>
        <w:t xml:space="preserve">now. The window</w:t>
      </w:r>
      <w:r>
        <w:t xml:space="preserve"> </w:t>
      </w:r>
      <w:r>
        <w:rPr>
          <w:iCs/>
          <w:i/>
        </w:rPr>
        <w:t xml:space="preserve">N</w:t>
      </w:r>
      <w:r>
        <w:t xml:space="preserve">, the archetype-specific horizons and the margin Δ are registered after the</w:t>
      </w:r>
      <w:r>
        <w:t xml:space="preserve"> </w:t>
      </w:r>
      <w:r>
        <w:t xml:space="preserve">checkpoint and the episode inventory, but before any evaluation runs, by the pre-declared</w:t>
      </w:r>
      <w:r>
        <w:t xml:space="preserve"> </w:t>
      </w:r>
      <w:r>
        <w:t xml:space="preserve">selection rules of T3.3. Earlier would be guesswork; after any look at performance,</w:t>
      </w:r>
      <w:r>
        <w:t xml:space="preserve"> </w:t>
      </w:r>
      <w:r>
        <w:t xml:space="preserve">indefensible.</w:t>
      </w:r>
    </w:p>
    <w:bookmarkEnd w:id="60"/>
    <w:bookmarkStart w:id="61"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primary CASU-144 series with the additional channels and covariates, over the</w:t>
      </w:r>
      <w:r>
        <w:t xml:space="preserve"> </w:t>
      </w:r>
      <w:r>
        <w:t xml:space="preserve">coverage and granularity the agreements provide. Quantify completeness and reporting delay; model right truncation/nowcasting where needed so incomplete recent reporting is not mistaken for falling demand [Höhle 2014; McGough 2020]. Analysis is at daily aggregate level wherever possible; missingness and delay are characterised explicitly, since degraded reporting under strain could itself mimic an early-warning signal.</w:t>
      </w:r>
    </w:p>
    <w:bookmarkEnd w:id="61"/>
    <w:bookmarkStart w:id="62"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crisis onset, create successive forecast origins using</w:t>
      </w:r>
      <w:r>
        <w:t xml:space="preserve"> </w:t>
      </w:r>
      <w:r>
        <w:rPr>
          <w:bCs/>
          <w:b/>
        </w:rPr>
        <w:t xml:space="preserve">only information available at that date</w:t>
      </w:r>
      <w:r>
        <w:t xml:space="preserve">, including only literature published and indexed before the origin.</w:t>
      </w:r>
    </w:p>
    <w:p>
      <w:pPr>
        <w:pStyle w:val="BodyText"/>
      </w:pPr>
      <w:r>
        <w:rPr>
          <w:bCs/>
          <w:b/>
        </w:rPr>
        <w:t xml:space="preserve">Admissibility as a prior is defined by referent, not venue</w:t>
      </w:r>
      <w:r>
        <w:t xml:space="preserve">: prior inputs are statements about</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Disease Outbreak News, ECDC rapid risk assessments) enters as a</w:t>
      </w:r>
      <w:r>
        <w:t xml:space="preserve"> </w:t>
      </w:r>
      <w:r>
        <w:rPr>
          <w:bCs/>
          <w:b/>
        </w:rPr>
        <w:t xml:space="preserve">pre-specified secondary prior variant</w:t>
      </w:r>
      <w:r>
        <w:t xml:space="preserve">: it refreshes the prior</w:t>
      </w:r>
      <w:r>
        <w:t xml:space="preserve"> </w:t>
      </w:r>
      <w:r>
        <w:rPr>
          <w:iCs/>
          <w:i/>
        </w:rPr>
        <w:t xml:space="preserve">within</w:t>
      </w:r>
      <w:r>
        <w:t xml:space="preserve"> </w:t>
      </w:r>
      <w:r>
        <w:t xml:space="preserve">a crisis and passes through the same extraction and measurement-error pipeline, but stays out of the confirmatory contrast, so that H3a tests literature borrowing rather than dynamic evidence fusion.</w:t>
      </w:r>
      <w:r>
        <w:t xml:space="preserve"> </w:t>
      </w:r>
      <w:r>
        <w:rPr>
          <w:bCs/>
          <w:b/>
        </w:rPr>
        <w:t xml:space="preserve">Text describing the local event is excluded from any prior</w:t>
      </w:r>
      <w:r>
        <w:t xml:space="preserve">: it is a noisy measurement of the outcome H3a is scored against. Every input carries an index timestamp and the rolling cut-off is enforced on it. Forecast at pre-specified horizons of 7, 14 and 28 days, the archetype-specific primary horizon fixed at the second registration point. The cold-start window is defined by elapsed local outcome observations</w:t>
      </w:r>
      <w:r>
        <w:t xml:space="preserve"> </w:t>
      </w:r>
      <w:r>
        <w:rPr>
          <w:bCs/>
          <w:b/>
        </w:rPr>
        <w:t xml:space="preserve">after a pre-defined real-time onset criterion</w:t>
      </w:r>
      <w:r>
        <w:t xml:space="preserve">. The onset rule may use only variables available at the forecast origin and cannot use the eventual peak, cumulative future cases or any other future information.</w:t>
      </w:r>
    </w:p>
    <w:bookmarkEnd w:id="62"/>
    <w:bookmarkStart w:id="63" w:name="X8439964b6ba96ceed5109fb1b1d4721670042fa"/>
    <w:p>
      <w:pPr>
        <w:pStyle w:val="Heading5"/>
      </w:pPr>
      <w:r>
        <w:t xml:space="preserve">T3.3: Evaluate a pre-specified model ladder</w:t>
      </w:r>
      <w:r>
        <w:t xml:space="preserve"> </w:t>
      </w:r>
      <w:r>
        <w:rPr>
          <w:iCs/>
          <w:i/>
        </w:rPr>
        <w:t xml:space="preserve">(M20–M34)</w:t>
      </w:r>
    </w:p>
    <w:p>
      <w:pPr>
        <w:pStyle w:val="FirstParagraph"/>
      </w:pPr>
      <w:r>
        <w:t xml:space="preserve">At each origin compare:</w:t>
      </w:r>
    </w:p>
    <w:p>
      <w:pPr>
        <w:numPr>
          <w:ilvl w:val="0"/>
          <w:numId w:val="1002"/>
        </w:numPr>
        <w:pStyle w:val="Compact"/>
      </w:pPr>
      <w:r>
        <w:t xml:space="preserve">seasonal/naive local baseline;</w:t>
      </w:r>
    </w:p>
    <w:p>
      <w:pPr>
        <w:numPr>
          <w:ilvl w:val="0"/>
          <w:numId w:val="1002"/>
        </w:numPr>
        <w:pStyle w:val="Compact"/>
      </w:pPr>
      <w:r>
        <w:t xml:space="preserve">established short-baseline surveillance method;</w:t>
      </w:r>
    </w:p>
    <w:p>
      <w:pPr>
        <w:numPr>
          <w:ilvl w:val="0"/>
          <w:numId w:val="1002"/>
        </w:numPr>
        <w:pStyle w:val="Compact"/>
      </w:pPr>
      <w:r>
        <w:t xml:space="preserve">regime model, weakly informative priors;</w:t>
      </w:r>
    </w:p>
    <w:p>
      <w:pPr>
        <w:numPr>
          <w:ilvl w:val="0"/>
          <w:numId w:val="1002"/>
        </w:numPr>
        <w:pStyle w:val="Compact"/>
      </w:pPr>
      <w:r>
        <w:t xml:space="preserve">the same regime model, fixed evidence-derived priors;</w:t>
      </w:r>
    </w:p>
    <w:p>
      <w:pPr>
        <w:numPr>
          <w:ilvl w:val="0"/>
          <w:numId w:val="1002"/>
        </w:numPr>
        <w:pStyle w:val="Compact"/>
      </w:pPr>
      <w:r>
        <w:t xml:space="preserve">adaptive borrowing with prior–data conflict monitoring;</w:t>
      </w:r>
    </w:p>
    <w:p>
      <w:pPr>
        <w:numPr>
          <w:ilvl w:val="0"/>
          <w:numId w:val="1002"/>
        </w:numPr>
        <w:pStyle w:val="Compact"/>
      </w:pPr>
      <w:r>
        <w:t xml:space="preserve">adaptive borrowing plus resilience indicators.</w:t>
      </w:r>
    </w:p>
    <w:p>
      <w:pPr>
        <w:pStyle w:val="FirstParagraph"/>
      </w:pPr>
      <w:r>
        <w:rPr>
          <w:bCs/>
          <w:b/>
        </w:rPr>
        <w:t xml:space="preserve">Confirmatory testing procedure, fixed in advance (fixed-sequence testing).</w:t>
      </w:r>
    </w:p>
    <w:p>
      <w:pPr>
        <w:numPr>
          <w:ilvl w:val="0"/>
          <w:numId w:val="1003"/>
        </w:numPr>
        <w:pStyle w:val="Compact"/>
      </w:pPr>
      <w:r>
        <w:rPr>
          <w:bCs/>
          <w:b/>
        </w:rPr>
        <w:t xml:space="preserve">Test 1 (primary).</w:t>
      </w:r>
      <w:r>
        <w:t xml:space="preserve"> </w:t>
      </w:r>
      <w:r>
        <w:t xml:space="preserve">Rung 4 vs rung 3,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Passing requires a positive skill difference with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3"/>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the heat-sensitive demand outcome (T3.0), at the same α,</w:t>
      </w:r>
      <w:r>
        <w:t xml:space="preserve"> </w:t>
      </w:r>
      <w:r>
        <w:rPr>
          <w:bCs/>
          <w:b/>
        </w:rPr>
        <w:t xml:space="preserve">conducted only if Test 1 passes</w:t>
      </w:r>
      <w:r>
        <w:t xml:space="preserve">.</w:t>
      </w:r>
    </w:p>
    <w:p>
      <w:pPr>
        <w:numPr>
          <w:ilvl w:val="0"/>
          <w:numId w:val="1003"/>
        </w:numPr>
        <w:pStyle w:val="Compact"/>
      </w:pPr>
      <w:r>
        <w:rPr>
          <w:bCs/>
          <w:b/>
        </w:rPr>
        <w:t xml:space="preserve">If Test 1 fails</w:t>
      </w:r>
      <w:r>
        <w:t xml:space="preserve">, H3a is not supported, Test 2 is not conducted confirmatorily, the heat analysis is exploratory, and the project's result is the failure map and the boundary condition.</w:t>
      </w:r>
    </w:p>
    <w:p>
      <w:pPr>
        <w:pStyle w:val="FirstParagraph"/>
      </w:pPr>
      <w:r>
        <w:t xml:space="preserve">The order being fixed and the second test conditional, the family-wise error rate is controlled at α with no adjustment. All other ladder contrasts are secondary or robustness analyses.</w:t>
      </w:r>
    </w:p>
    <w:p>
      <w:pPr>
        <w:pStyle w:val="BodyText"/>
      </w:pPr>
      <w:r>
        <w:rPr>
          <w:bCs/>
          <w:b/>
        </w:rPr>
        <w:t xml:space="preserve">Rung 3 is pinned in the registration</w:t>
      </w:r>
      <w:r>
        <w:t xml:space="preserve">, with a pre-declared set of vaguer and tighter alternatives over which the primary result is reported as a sensitivity band. An advantage surviving only against the vaguest baseline is reported as such: the comparator cannot be tuned into a straw man after the fact.</w:t>
      </w:r>
    </w:p>
    <w:p>
      <w:pPr>
        <w:pStyle w:val="BodyText"/>
      </w:pPr>
      <w:r>
        <w:rPr>
          <w:bCs/>
          <w:b/>
        </w:rPr>
        <w:t xml:space="preserve">Primary endpoint:</w:t>
      </w:r>
      <w:r>
        <w:t xml:space="preserve"> </w:t>
      </w:r>
      <w:r>
        <w:t xml:space="preserve">the CRPS skill score of rung 4 relative to rung 3 over the cold-start window. The unit of inference is the</w:t>
      </w:r>
      <w:r>
        <w:t xml:space="preserve"> </w:t>
      </w:r>
      <w:r>
        <w:rPr>
          <w:bCs/>
          <w:b/>
        </w:rPr>
        <w:t xml:space="preserve">episode</w:t>
      </w:r>
      <w:r>
        <w:t xml:space="preserve">, not the forecast origin: origins are repeated measures within episodes. Because eligible episodes are few (the provisional inventory holds 13–14 respiratory candidates before eligibility screening), inference is by</w:t>
      </w:r>
      <w:r>
        <w:t xml:space="preserve"> </w:t>
      </w:r>
      <w:r>
        <w:rPr>
          <w:bCs/>
          <w:b/>
        </w:rPr>
        <w:t xml:space="preserve">paired permutation over episodes</w:t>
      </w:r>
      <w:r>
        <w:t xml:space="preserve">, with a block bootstrap reported alongside; both are pre-specified and disagreement is reported.</w:t>
      </w:r>
      <w:r>
        <w:t xml:space="preserve"> </w:t>
      </w:r>
      <w:r>
        <w:rPr>
          <w:bCs/>
          <w:b/>
        </w:rPr>
        <w:t xml:space="preserve">The design is powered by simulation-based operating characteristics at episode level</w:t>
      </w:r>
      <w:r>
        <w:t xml:space="preserve"> </w:t>
      </w:r>
      <w:r>
        <w:t xml:space="preserve">(type I error, power and interval width under realistic within-episode dependence, between-episode heterogeneity and plausible CRPS effects),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rules</w:t>
      </w:r>
      <w:r>
        <w:t xml:space="preserve"> </w:t>
      </w:r>
      <w:r>
        <w:t xml:space="preserve">for</w:t>
      </w:r>
      <w:r>
        <w:t xml:space="preserve"> </w:t>
      </w:r>
      <w:r>
        <w:rPr>
          <w:iCs/>
          <w:i/>
        </w:rPr>
        <w:t xml:space="preserve">N</w:t>
      </w:r>
      <w:r>
        <w:t xml:space="preserve"> </w:t>
      </w:r>
      <w:r>
        <w:t xml:space="preserve">and Δ:</w:t>
      </w:r>
      <w:r>
        <w:t xml:space="preserve"> </w:t>
      </w:r>
      <w:r>
        <w:rPr>
          <w:iCs/>
          <w:i/>
        </w:rPr>
        <w:t xml:space="preserve">N</w:t>
      </w:r>
      <w:r>
        <w:t xml:space="preserve"> </w:t>
      </w:r>
      <w:r>
        <w:t xml:space="preserve">the smallest value in a pre-declared grid meeting the operating-characteristic criterion, Δ set by a pre-declared rule on the simulated effect distribution, registered after the inventory, chosen by algorithms blind to forecast performance. Secondary endpoints: log score, calibration (PIT, interval coverage), and escalation detection compared at matched false-alarm rates.</w:t>
      </w:r>
    </w:p>
    <w:p>
      <w:pPr>
        <w:pStyle w:val="BodyText"/>
      </w:pPr>
      <w:r>
        <w:rPr>
          <w:bCs/>
          <w:b/>
        </w:rPr>
        <w:t xml:space="preserve">H3b's non-inferiority margin Δ is fixed here, before any historical evaluation</w:t>
      </w:r>
      <w:r>
        <w:t xml:space="preserve">, justified against the rung 3 → rung 4 effect the study is powered to detect. Adaptive borrowing is non-inferior if its CRPS deficit relative to fixed borrowing is no greater than Δ; the superiority half is tested on the misspecified priors of T3.4. Confirmatory contrasts are registered before evaluation; exploratory searches are separated and labelled.</w:t>
      </w:r>
    </w:p>
    <w:bookmarkEnd w:id="63"/>
    <w:bookmarkStart w:id="64"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mismatch, outcome definition, health-system structure, policy regime, temporal mismatch, extraction uncertainty and prior–data conflict, with deliberately misspecified priors as a stress test. The safety question is whether harmful borrowing is detectable early enough for adaptive discounting to limit its impact. The output is a</w:t>
      </w:r>
      <w:r>
        <w:t xml:space="preserve"> </w:t>
      </w:r>
      <w:r>
        <w:rPr>
          <w:bCs/>
          <w:b/>
        </w:rPr>
        <w:t xml:space="preserve">failure map</w:t>
      </w:r>
      <w:r>
        <w:t xml:space="preserve">, not an average performance estimate.</w:t>
      </w:r>
    </w:p>
    <w:bookmarkEnd w:id="64"/>
    <w:bookmarkStart w:id="65" w:name="t35-test-generalisation-m34m42"/>
    <w:p>
      <w:pPr>
        <w:pStyle w:val="Heading5"/>
      </w:pPr>
      <w:r>
        <w:t xml:space="preserve">T3.5: Test generalisation</w:t>
      </w:r>
      <w:r>
        <w:t xml:space="preserve"> </w:t>
      </w:r>
      <w:r>
        <w:rPr>
          <w:iCs/>
          <w:i/>
        </w:rPr>
        <w:t xml:space="preserve">(M34–M42)</w:t>
      </w:r>
    </w:p>
    <w:p>
      <w:pPr>
        <w:pStyle w:val="FirstParagraph"/>
      </w:pPr>
      <w:r>
        <w:t xml:space="preserve">Run the sequential generalisation test on the heatwave archetype and, resources permitting, the legionellosis extension, a year-4 addition, not required for the central conclusion.</w:t>
      </w:r>
    </w:p>
    <w:p>
      <w:pPr>
        <w:pStyle w:val="BodyText"/>
      </w:pPr>
      <w:r>
        <w:rPr>
          <w:bCs/>
          <w:b/>
        </w:rPr>
        <w:t xml:space="preserve">Deliverables.</w:t>
      </w:r>
      <w:r>
        <w:t xml:space="preserve"> </w:t>
      </w:r>
      <w:r>
        <w:t xml:space="preserve">D3.1 reproducible cold-start evaluation pipeline; D3.2 primary result on the value of evidence-derived priors; D3.3 failure/stress-test map; D3.4 cross-archetype generalisation analysis.</w:t>
      </w:r>
    </w:p>
    <w:p>
      <w:pPr>
        <w:pStyle w:val="BodyText"/>
      </w:pPr>
      <w:r>
        <w:rPr>
          <w:bCs/>
          <w:b/>
        </w:rPr>
        <w:t xml:space="preserve">Risk: operational data access.</w:t>
      </w:r>
      <w:r>
        <w:t xml:space="preserve"> </w:t>
      </w:r>
      <w:r>
        <w:rPr>
          <w:iCs/>
          <w:i/>
        </w:rPr>
        <w:t xml:space="preserve">Mitigation:</w:t>
      </w:r>
      <w:r>
        <w:t xml:space="preserve"> </w:t>
      </w:r>
      <w:r>
        <w:t xml:space="preserve">agreements are initiated pre-award and letters accompany the application. If clinical data are delayed, H3a remains testable on open federal/cantonal and European surveillance series under the same rolling-origin restriction; §2.4 states the cost.</w:t>
      </w:r>
    </w:p>
    <w:p>
      <w:r>
        <w:pict>
          <v:rect style="width:0;height:1.5pt" o:hralign="center" o:hrstd="t" o:hr="t"/>
        </w:pict>
      </w:r>
    </w:p>
    <w:bookmarkEnd w:id="65"/>
    <w:bookmarkEnd w:id="66"/>
    <w:bookmarkStart w:id="70" w:name="X817573a182041657fbc376b8819e3f332001f1c"/>
    <w:p>
      <w:pPr>
        <w:pStyle w:val="Heading4"/>
      </w:pPr>
      <w:r>
        <w:t xml:space="preserve">WP4: From predictive skill to operational value</w:t>
      </w:r>
      <w:r>
        <w:t xml:space="preserve"> </w:t>
      </w:r>
      <w:r>
        <w:rPr>
          <w:iCs/>
          <w:i/>
        </w:rPr>
        <w:t xml:space="preserve">(M24–M48)</w:t>
      </w:r>
    </w:p>
    <w:p>
      <w:pPr>
        <w:pStyle w:val="FirstParagraph"/>
      </w:pPr>
      <w:r>
        <w:rPr>
          <w:bCs/>
          <w:b/>
        </w:rPr>
        <w:t xml:space="preserve">Question.</w:t>
      </w:r>
      <w:r>
        <w:t xml:space="preserve"> </w:t>
      </w:r>
      <w:r>
        <w:t xml:space="preserve">Is any predictive improvement large enough to change a decision?</w:t>
      </w:r>
    </w:p>
    <w:bookmarkStart w:id="67"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 elicitation per the</w:t>
      </w:r>
      <w:r>
        <w:t xml:space="preserve"> </w:t>
      </w:r>
      <w:r>
        <w:rPr>
          <w:bCs/>
          <w:b/>
        </w:rPr>
        <w:t xml:space="preserve">SHELF</w:t>
      </w:r>
      <w:r>
        <w:t xml:space="preserve"> </w:t>
      </w:r>
      <w:r>
        <w:t xml:space="preserve">protocol (n ≈ 15–20 across HUG emergency medicine, CASU-144 regulation and capacity management). Elicit the consequences of early, late and unnecessary escalation rather than asking respondents to guess probability thresholds, then derive thresholds from the loss structure.</w:t>
      </w:r>
      <w:r>
        <w:t xml:space="preserve"> </w:t>
      </w:r>
      <w:r>
        <w:rPr>
          <w:bCs/>
          <w:b/>
        </w:rPr>
        <w:t xml:space="preserve">The primary decision is fixed in advance</w:t>
      </w:r>
      <w:r>
        <w:t xml:space="preserve">: trigger surge-capacity escalation when the forecast probability of entering the strained/critical state crosses the elicited threshold; its losses anchor T4.2's net-benefit analysis.</w:t>
      </w:r>
    </w:p>
    <w:bookmarkEnd w:id="67"/>
    <w:bookmarkStart w:id="68"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testing whether rankings change once consequences are incorporated. A model counts as useful only if its improvement crosses a decision-relevant threshold.</w:t>
      </w:r>
    </w:p>
    <w:p>
      <w:pPr>
        <w:pStyle w:val="BodyText"/>
      </w:pPr>
      <w:r>
        <w:t xml:space="preserve">Because operational records may encode structural differences across populations, assess calibration, error and threshold performance across available aggregate strata (age, sex, neighbourhood deprivation where legally and statistically appropriate). A model calibrated on average but miscalibrated for a relevant group is not operationally ready. This audits performance and thresholds, not individual-level causal fairness.</w:t>
      </w:r>
    </w:p>
    <w:bookmarkEnd w:id="68"/>
    <w:bookmarkStart w:id="69" w:name="X2a75f046817986cf4af9ac4d50bee94983d6192"/>
    <w:p>
      <w:pPr>
        <w:pStyle w:val="Heading5"/>
      </w:pPr>
      <w:r>
        <w:t xml:space="preserve">T4.3: Counterfactual analysis and prospective validation</w:t>
      </w:r>
      <w:r>
        <w:t xml:space="preserve"> </w:t>
      </w:r>
      <w:r>
        <w:rPr>
          <w:iCs/>
          <w:i/>
        </w:rPr>
        <w:t xml:space="preserve">(M34–M48)</w:t>
      </w:r>
    </w:p>
    <w:p>
      <w:pPr>
        <w:pStyle w:val="FirstParagraph"/>
      </w:pPr>
      <w:r>
        <w:t xml:space="preserve">For selected historical episodes, estimate what would have changed had escalation been triggered when the model signalled it rather than when it occurred, via a simple capacity model with propagated uncertainty. These are model-based counterfactuals, not causal estimates; sensitivity to the capacity assumptions is explicit.</w:t>
      </w:r>
    </w:p>
    <w:p>
      <w:pPr>
        <w:pStyle w:val="BodyText"/>
      </w:pPr>
      <w:r>
        <w:t xml:space="preserve">If authorised, the framework also runs in</w:t>
      </w:r>
      <w:r>
        <w:t xml:space="preserve"> </w:t>
      </w:r>
      <w:r>
        <w:rPr>
          <w:bCs/>
          <w:b/>
        </w:rPr>
        <w:t xml:space="preserve">shadow mode</w:t>
      </w:r>
      <w:r>
        <w:t xml:space="preserve"> </w:t>
      </w:r>
      <w:r>
        <w:t xml:space="preserve">alongside routine operations (forecasts recorded, not used for clinical decisions), comparing prospective with retrospective calibration. If shadow mode is not authorised or no crisis occurs, the project is complete on retrospective evaluation and reports the limitation.</w:t>
      </w:r>
    </w:p>
    <w:p>
      <w:pPr>
        <w:pStyle w:val="BodyText"/>
      </w:pPr>
      <w:r>
        <w:rPr>
          <w:bCs/>
          <w:b/>
        </w:rPr>
        <w:t xml:space="preserve">Deliverables.</w:t>
      </w:r>
      <w:r>
        <w:t xml:space="preserve"> </w:t>
      </w:r>
      <w:r>
        <w:t xml:space="preserve">D4.1 elicited loss structure and equity audit; D4.2 decision-analytic evaluation; D4.3 counterfactual analysis and prospective validation where feasible.</w:t>
      </w:r>
    </w:p>
    <w:p>
      <w:r>
        <w:pict>
          <v:rect style="width:0;height:1.5pt" o:hralign="center" o:hrstd="t" o:hr="t"/>
        </w:pict>
      </w:r>
    </w:p>
    <w:bookmarkEnd w:id="69"/>
    <w:bookmarkEnd w:id="70"/>
    <w:bookmarkStart w:id="71" w:name="Xbf779a85254491c036ae265aead590d7366f3e5"/>
    <w:p>
      <w:pPr>
        <w:pStyle w:val="Heading4"/>
      </w:pPr>
      <w:r>
        <w:t xml:space="preserve">Methods, data protection and reproducibility</w:t>
      </w:r>
    </w:p>
    <w:p>
      <w:pPr>
        <w:pStyle w:val="FirstParagraph"/>
      </w:pPr>
      <w:r>
        <w:t xml:space="preserve">Analyses use R and Python with version-controlled code and a registered analysis plan for confirmatory comparisons. Clinical data are processed in the UNIGE secure environment under a new CCER approval with me as applicant. The benchmark and software are released openly; clinical data remain protected, with synthetic equivalents and reproducible analysis code where possible.</w:t>
      </w:r>
    </w:p>
    <w:bookmarkEnd w:id="71"/>
    <w:bookmarkStart w:id="72" w:name="risks-and-fallback-logic"/>
    <w:p>
      <w:pPr>
        <w:pStyle w:val="Heading4"/>
      </w:pPr>
      <w:r>
        <w:t xml:space="preserve">Risks and fallback logic</w:t>
      </w:r>
    </w:p>
    <w:p>
      <w:pPr>
        <w:pStyle w:val="FirstParagraph"/>
      </w:pPr>
      <w:r>
        <w:t xml:space="preserve">The two central risks are scientific, and each yields a result rather than a stall.</w:t>
      </w:r>
      <w:r>
        <w:t xml:space="preserve"> </w:t>
      </w:r>
      <w:r>
        <w:rPr>
          <w:bCs/>
          <w:b/>
        </w:rPr>
        <w:t xml:space="preserve">Evidence may be unusable</w:t>
      </w:r>
      <w:r>
        <w:t xml:space="preserve">: WP1 then establishes that boundary and WP3 quantifies the cost of ignoring it: a publishable negative result.</w:t>
      </w:r>
      <w:r>
        <w:t xml:space="preserve"> </w:t>
      </w:r>
      <w:r>
        <w:rPr>
          <w:bCs/>
          <w:b/>
        </w:rPr>
        <w:t xml:space="preserve">The state model may be weakly identifiable</w:t>
      </w:r>
      <w:r>
        <w:t xml:space="preserve">: simulation establishes the identifiable regime before real-data fitting, and the pre-specified ordinal fallback preserves the central comparison. Data access, missingness and prospective deployment have the explicit fallbacks above. None converts an inconclusive analysis into an unqualified success claim.</w:t>
      </w:r>
    </w:p>
    <w:bookmarkEnd w:id="72"/>
    <w:bookmarkStart w:id="73" w:name="expected-outputs"/>
    <w:p>
      <w:pPr>
        <w:pStyle w:val="Heading4"/>
      </w:pPr>
      <w:r>
        <w:t xml:space="preserve">Expected outputs</w:t>
      </w:r>
    </w:p>
    <w:p>
      <w:pPr>
        <w:pStyle w:val="FirstParagraph"/>
      </w:pPr>
      <w:r>
        <w:t xml:space="preserve">Approximately four to six papers and two durable open resources: the quantitative extraction benchmark and the evidence-to-prior reference framework.</w:t>
      </w:r>
      <w:r>
        <w:t xml:space="preserve"> </w:t>
      </w:r>
      <w:r>
        <w:rPr>
          <w:bCs/>
          <w:b/>
        </w:rPr>
        <w:t xml:space="preserve">I lead the methodological, benchmark and integrative outputs.</w:t>
      </w:r>
    </w:p>
    <w:p>
      <w:r>
        <w:pict>
          <v:rect style="width:0;height:1.5pt" o:hralign="center" o:hrstd="t" o:hr="t"/>
        </w:pict>
      </w:r>
    </w:p>
    <w:bookmarkEnd w:id="73"/>
    <w:bookmarkEnd w:id="74"/>
    <w:bookmarkStart w:id="79"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formal methodological collaboration with</w:t>
      </w:r>
      <w:r>
        <w:t xml:space="preserve"> </w:t>
      </w:r>
      <w:r>
        <w:rPr>
          <w:bCs/>
          <w:b/>
        </w:rPr>
        <w:t xml:space="preserve">Data Science for Digital Health</w:t>
      </w:r>
      <w:r>
        <w:t xml:space="preserve"> </w:t>
      </w:r>
      <w:r>
        <w:t xml:space="preserve">(Prof. Douglas Teodoro, Department of Radiology and Medical Informatics) and a clinical collaboration with</w:t>
      </w:r>
      <w:r>
        <w:t xml:space="preserve"> </w:t>
      </w:r>
      <w:r>
        <w:rPr>
          <w:bCs/>
          <w:b/>
        </w:rPr>
        <w:t xml:space="preserve">HUG emergency medicine</w:t>
      </w:r>
      <w:r>
        <w:t xml:space="preserve"> </w:t>
      </w:r>
      <w:r>
        <w:t xml:space="preserve">(Prof. Thibaut Desmettre; Dr Robert Larribau, médecin responsable CASU-144).</w:t>
      </w:r>
    </w:p>
    <w:bookmarkStart w:id="75" w:name="X731999f8b4889a382a57a441b77fce979606901"/>
    <w:p>
      <w:pPr>
        <w:pStyle w:val="Heading4"/>
      </w:pPr>
      <w:r>
        <w:t xml:space="preserve">2.3.3.1 Why this environment</w:t>
      </w:r>
    </w:p>
    <w:p>
      <w:pPr>
        <w:pStyle w:val="FirstParagraph"/>
      </w:pPr>
      <w:r>
        <w:t xml:space="preserve">The project needs three capabilities rarely housed together (quantitative methods, evidence synthesis, and access to a working emergency and public-health system), and the arrangement below provides them without depending on one collaborator.</w:t>
      </w:r>
    </w:p>
    <w:p>
      <w:pPr>
        <w:pStyle w:val="BodyText"/>
      </w:pPr>
      <w:r>
        <w:rPr>
          <w:bCs/>
          <w:b/>
        </w:rPr>
        <w:t xml:space="preserve">Institute of Global Health.</w:t>
      </w:r>
      <w:r>
        <w:t xml:space="preserve"> </w:t>
      </w:r>
      <w:r>
        <w:t xml:space="preserve">Epidemiology, infectious-disease modelling and automated evidence extraction sit in one institute, with the surveillance methodology the project consumes; this is where the gap became visible. Independence is organisational: a programme led by me alongside the Institute's groups, not inside one (§2.6).</w:t>
      </w:r>
      <w:r>
        <w:t xml:space="preserve"> </w:t>
      </w:r>
      <w:r>
        <w:rPr>
          <w:bCs/>
          <w:b/>
        </w:rPr>
        <w:t xml:space="preserve">DS4DH</w:t>
      </w:r>
      <w:r>
        <w:t xml:space="preserve"> </w:t>
      </w:r>
      <w:r>
        <w:t xml:space="preserve">contributes the biomedical NLP and retrieval WP1 needs.</w:t>
      </w:r>
    </w:p>
    <w:p>
      <w:pPr>
        <w:pStyle w:val="BodyText"/>
      </w:pPr>
      <w:r>
        <w:rPr>
          <w:bCs/>
          <w:b/>
        </w:rPr>
        <w:t xml:space="preserve">Operational access: HUG and Geneva emergency services.</w:t>
      </w:r>
      <w:r>
        <w:t xml:space="preserve"> </w:t>
      </w:r>
      <w:r>
        <w:t xml:space="preserve">Through GESICA I already work with emergency-medicine and public-health partners; the AI-in-EMS review [Edjinedja 2026] evidences the functioning collaboration. No new relationship needs creating after the grant starts.</w:t>
      </w:r>
    </w:p>
    <w:p>
      <w:pPr>
        <w:pStyle w:val="BodyText"/>
      </w:pPr>
      <w:r>
        <w:rPr>
          <w:bCs/>
          <w:b/>
        </w:rPr>
        <w:t xml:space="preserve">Existing infrastructure.</w:t>
      </w:r>
      <w:r>
        <w:t xml:space="preserve"> </w:t>
      </w:r>
      <w:r>
        <w:t xml:space="preserve">LiteRev-Evidence is operational: 80,000+ publications, structured extraction with provenance and quality scoring, quality-weighted pooling into parameter distributions, connectors to MeteoSwiss, Copernicus ERA5 and surveillance sources. Ambizione does not fund its construction; it uses it. The legionellosis study (BASEC 2026-00324), under way with ethics granted, supplies the contrasting archetype.</w:t>
      </w:r>
    </w:p>
    <w:p>
      <w:pPr>
        <w:pStyle w:val="BodyText"/>
      </w:pPr>
      <w:r>
        <w:rPr>
          <w:bCs/>
          <w:b/>
        </w:rPr>
        <w:t xml:space="preserve">Computing.</w:t>
      </w:r>
      <w:r>
        <w:t xml:space="preserve"> </w:t>
      </w:r>
      <w:r>
        <w:t xml:space="preserve">UNIGE HPC (Baobab/Yggdrasil) and the University's secure environment for clinical data (requested; see table).</w:t>
      </w:r>
    </w:p>
    <w:bookmarkEnd w:id="75"/>
    <w:bookmarkStart w:id="76" w:name="X023d30cda2adcaab330e22d1baf8d8944504bd9"/>
    <w:p>
      <w:pPr>
        <w:pStyle w:val="Heading4"/>
      </w:pPr>
      <w:r>
        <w:t xml:space="preserve">2.3.3.2 Commitments, by status</w:t>
      </w:r>
    </w:p>
    <w:p>
      <w:pPr>
        <w:pStyle w:val="FirstParagraph"/>
      </w:pPr>
      <w:r>
        <w:t xml:space="preserve">Each row is labelled</w:t>
      </w:r>
      <w:r>
        <w:t xml:space="preserve"> </w:t>
      </w:r>
      <w:r>
        <w:rPr>
          <w:bCs/>
          <w:b/>
        </w:rPr>
        <w:t xml:space="preserve">secured</w:t>
      </w:r>
      <w:r>
        <w:t xml:space="preserve">,</w:t>
      </w:r>
      <w:r>
        <w:t xml:space="preserve"> </w:t>
      </w:r>
      <w:r>
        <w:rPr>
          <w:bCs/>
          <w:b/>
        </w:rPr>
        <w:t xml:space="preserve">agreed</w:t>
      </w:r>
      <w:r>
        <w:t xml:space="preserve">,</w:t>
      </w:r>
      <w:r>
        <w:t xml:space="preserve"> </w:t>
      </w:r>
      <w:r>
        <w:rPr>
          <w:bCs/>
          <w:b/>
        </w:rPr>
        <w:t xml:space="preserve">requested</w:t>
      </w:r>
      <w:r>
        <w:t xml:space="preserve"> </w:t>
      </w:r>
      <w:r>
        <w:t xml:space="preserve">or</w:t>
      </w:r>
      <w:r>
        <w:t xml:space="preserve"> </w:t>
      </w:r>
      <w:r>
        <w:rPr>
          <w:bCs/>
          <w:b/>
        </w:rPr>
        <w:t xml:space="preserve">fallback</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Ethics approval BASEC 2026-00324</w:t>
            </w:r>
          </w:p>
        </w:tc>
      </w:tr>
      <w:tr>
        <w:tc>
          <w:tcPr/>
          <w:p>
            <w:pPr>
              <w:pStyle w:val="Compact"/>
              <w:jc w:val="left"/>
            </w:pPr>
            <w:r>
              <w:t xml:space="preserve">Host institute (ISG)</w:t>
            </w:r>
          </w:p>
        </w:tc>
        <w:tc>
          <w:tcPr/>
          <w:p>
            <w:pPr>
              <w:pStyle w:val="Compact"/>
              <w:jc w:val="left"/>
            </w:pPr>
            <w:r>
              <w:t xml:space="preserve">Requested</w:t>
            </w:r>
          </w:p>
        </w:tc>
        <w:tc>
          <w:tcPr/>
          <w:p>
            <w:pPr>
              <w:pStyle w:val="Compact"/>
              <w:jc w:val="left"/>
            </w:pPr>
            <w:r>
              <w:t xml:space="preserve">Host confirmation, SNSF template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of collaboration requested</w:t>
            </w:r>
          </w:p>
        </w:tc>
      </w:tr>
      <w:tr>
        <w:tc>
          <w:tcPr/>
          <w:p>
            <w:pPr>
              <w:pStyle w:val="Compact"/>
              <w:jc w:val="left"/>
            </w:pPr>
            <w:r>
              <w:t xml:space="preserve">Institutional confirmation</w:t>
            </w:r>
          </w:p>
        </w:tc>
        <w:tc>
          <w:tcPr/>
          <w:p>
            <w:pPr>
              <w:pStyle w:val="Compact"/>
              <w:jc w:val="left"/>
            </w:pPr>
            <w:r>
              <w:t xml:space="preserve">Requested</w:t>
            </w:r>
          </w:p>
        </w:tc>
        <w:tc>
          <w:tcPr/>
          <w:p>
            <w:pPr>
              <w:pStyle w:val="Compact"/>
              <w:jc w:val="left"/>
            </w:pPr>
            <w:r>
              <w:t xml:space="preserve">General confirmation, UNIGE Vice-Rectorate</w:t>
            </w:r>
          </w:p>
        </w:tc>
      </w:tr>
      <w:tr>
        <w:tc>
          <w:tcPr/>
          <w:p>
            <w:pPr>
              <w:pStyle w:val="Compact"/>
              <w:jc w:val="left"/>
            </w:pPr>
            <w:r>
              <w:rPr>
                <w:bCs/>
                <w:b/>
              </w:rPr>
              <w:t xml:space="preserve">CASU-144 records (HUG-operated), primary outcome</w:t>
            </w:r>
          </w:p>
        </w:tc>
        <w:tc>
          <w:tcPr/>
          <w:p>
            <w:pPr>
              <w:pStyle w:val="Compact"/>
              <w:jc w:val="left"/>
            </w:pPr>
            <w:r>
              <w:t xml:space="preserve">Requested</w:t>
            </w:r>
          </w:p>
        </w:tc>
        <w:tc>
          <w:tcPr/>
          <w:p>
            <w:pPr>
              <w:pStyle w:val="Compact"/>
              <w:jc w:val="left"/>
            </w:pPr>
            <w:r>
              <w:t xml:space="preserve">Letter of collaboration requested. Continuous, daily, near real-time, ~71,000 emergency calls/yr (documented 2026);</w:t>
            </w:r>
            <w:r>
              <w:t xml:space="preserve"> </w:t>
            </w:r>
            <w:r>
              <w:rPr>
                <w:bCs/>
                <w:b/>
              </w:rPr>
              <w:t xml:space="preserve">access to the HUG centrale's data already established within GESICA</w:t>
            </w:r>
            <w:r>
              <w:t xml:space="preserve"> </w:t>
            </w:r>
            <w:r>
              <w:t xml:space="preserve">(voice recordings excluded); this project requires its own agreement and CCER approval</w:t>
            </w:r>
          </w:p>
        </w:tc>
      </w:tr>
      <w:tr>
        <w:tc>
          <w:tcPr/>
          <w:p>
            <w:pPr>
              <w:pStyle w:val="Compact"/>
              <w:jc w:val="left"/>
            </w:pPr>
            <w:r>
              <w:t xml:space="preserve">ED presentations, additional channel</w:t>
            </w:r>
          </w:p>
        </w:tc>
        <w:tc>
          <w:tcPr/>
          <w:p>
            <w:pPr>
              <w:pStyle w:val="Compact"/>
              <w:jc w:val="left"/>
            </w:pPr>
            <w:r>
              <w:t xml:space="preserve">Requested</w:t>
            </w:r>
          </w:p>
        </w:tc>
        <w:tc>
          <w:tcPr/>
          <w:p>
            <w:pPr>
              <w:pStyle w:val="Compact"/>
              <w:jc w:val="left"/>
            </w:pPr>
            <w:r>
              <w:t xml:space="preserve">Letter of collaboration requested; daily historical availability to confirm (OFS hospital statistics are annual)</w:t>
            </w:r>
          </w:p>
        </w:tc>
      </w:tr>
      <w:tr>
        <w:tc>
          <w:tcPr/>
          <w:p>
            <w:pPr>
              <w:pStyle w:val="Compact"/>
              <w:jc w:val="left"/>
            </w:pPr>
            <w:r>
              <w:t xml:space="preserve">ICU occupancy data</w:t>
            </w:r>
          </w:p>
        </w:tc>
        <w:tc>
          <w:tcPr/>
          <w:p>
            <w:pPr>
              <w:pStyle w:val="Compact"/>
              <w:jc w:val="left"/>
            </w:pPr>
            <w:r>
              <w:t xml:space="preserve">Requested</w:t>
            </w:r>
          </w:p>
        </w:tc>
        <w:tc>
          <w:tcPr/>
          <w:p>
            <w:pPr>
              <w:pStyle w:val="Compact"/>
              <w:jc w:val="left"/>
            </w:pPr>
            <w:r>
              <w:t xml:space="preserve">Letter of collaboration requested; fallback in WP3</w:t>
            </w:r>
          </w:p>
        </w:tc>
      </w:tr>
      <w:tr>
        <w:tc>
          <w:tcPr/>
          <w:p>
            <w:pPr>
              <w:pStyle w:val="Compact"/>
              <w:jc w:val="left"/>
            </w:pPr>
            <w:r>
              <w:t xml:space="preserve">Operational-data ethics</w:t>
            </w:r>
          </w:p>
        </w:tc>
        <w:tc>
          <w:tcPr/>
          <w:p>
            <w:pPr>
              <w:pStyle w:val="Compact"/>
              <w:jc w:val="left"/>
            </w:pPr>
            <w:r>
              <w:t xml:space="preserve">Requested</w:t>
            </w:r>
          </w:p>
        </w:tc>
        <w:tc>
          <w:tcPr/>
          <w:p>
            <w:pPr>
              <w:pStyle w:val="Compact"/>
              <w:jc w:val="left"/>
            </w:pPr>
            <w:r>
              <w:t xml:space="preserve">CCER submission, PI as applicant</w:t>
            </w:r>
          </w:p>
        </w:tc>
      </w:tr>
      <w:tr>
        <w:tc>
          <w:tcPr/>
          <w:p>
            <w:pPr>
              <w:pStyle w:val="Compact"/>
              <w:jc w:val="left"/>
            </w:pPr>
            <w:r>
              <w:t xml:space="preserve">Computing</w:t>
            </w:r>
          </w:p>
        </w:tc>
        <w:tc>
          <w:tcPr/>
          <w:p>
            <w:pPr>
              <w:pStyle w:val="Compact"/>
              <w:jc w:val="left"/>
            </w:pPr>
            <w:r>
              <w:t xml:space="preserve">Requested</w:t>
            </w:r>
          </w:p>
        </w:tc>
        <w:tc>
          <w:tcPr/>
          <w:p>
            <w:pPr>
              <w:pStyle w:val="Compact"/>
              <w:jc w:val="left"/>
            </w:pPr>
            <w:r>
              <w:t xml:space="preserve">UNIGE HPC access</w:t>
            </w:r>
          </w:p>
        </w:tc>
      </w:tr>
    </w:tbl>
    <w:p>
      <w:pPr>
        <w:pStyle w:val="BodyText"/>
      </w:pPr>
      <w:r>
        <w:t xml:space="preserve">The three operational-data rows are the most important remaining feasibility items, and §2.4 states what their absence would cost the primary outcome claim.</w:t>
      </w:r>
    </w:p>
    <w:bookmarkEnd w:id="76"/>
    <w:bookmarkStart w:id="77" w:name="X2f8f413145ee8682824acee7b5944f4cee0cf8b"/>
    <w:p>
      <w:pPr>
        <w:pStyle w:val="Heading4"/>
      </w:pPr>
      <w:r>
        <w:t xml:space="preserve">2.3.3.3 Resources requested</w:t>
      </w:r>
    </w:p>
    <w:p>
      <w:pPr>
        <w:pStyle w:val="FirstParagraph"/>
      </w:pPr>
      <w:r>
        <w:t xml:space="preserve">Project funds are capped at</w:t>
      </w:r>
      <w:r>
        <w:t xml:space="preserve"> </w:t>
      </w:r>
      <w:r>
        <w:rPr>
          <w:bCs/>
          <w:b/>
        </w:rPr>
        <w:t xml:space="preserve">CHF 250,000 over four years</w:t>
      </w:r>
      <w:r>
        <w:t xml:space="preserve">; the applicant's salary is covered separately. Doctoral students and postdocs cannot be employed; support personnel can, so the ceiling supports a substantial</w:t>
      </w:r>
      <w:r>
        <w:t xml:space="preserve"> </w:t>
      </w:r>
      <w:r>
        <w:rPr>
          <w:bCs/>
          <w:b/>
        </w:rPr>
        <w:t xml:space="preserve">scientific/technical collaborator</w:t>
      </w:r>
      <w:r>
        <w:t xml:space="preserve"> </w:t>
      </w:r>
      <w:r>
        <w:t xml:space="preserve">alongside computing, data and travel.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(one of two independent extractors),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for the benchmark period (M3–M9); required for T1.2's dual-extraction design</w:t>
            </w:r>
          </w:p>
        </w:tc>
      </w:tr>
      <w:tr>
        <w:tc>
          <w:tcPr/>
          <w:p>
            <w:pPr>
              <w:pStyle w:val="Compact"/>
              <w:jc w:val="left"/>
            </w:pPr>
            <w:r>
              <w:t xml:space="preserve">Computing and data access</w:t>
            </w:r>
          </w:p>
        </w:tc>
        <w:tc>
          <w:tcPr/>
          <w:p>
            <w:pPr>
              <w:pStyle w:val="Compact"/>
              <w:jc w:val="left"/>
            </w:pPr>
            <w:r>
              <w:t xml:space="preserve">Evidence processing, Bayesian estimation, rolling-origin evaluation</w:t>
            </w:r>
          </w:p>
        </w:tc>
      </w:tr>
      <w:tr>
        <w:tc>
          <w:tcPr/>
          <w:p>
            <w:pPr>
              <w:pStyle w:val="Compact"/>
              <w:jc w:val="left"/>
            </w:pPr>
            <w:r>
              <w:t xml:space="preserve">Travel, conferences and incoming visits</w:t>
            </w:r>
          </w:p>
        </w:tc>
        <w:tc>
          <w:tcPr/>
          <w:p>
            <w:pPr>
              <w:pStyle w:val="Compact"/>
              <w:jc w:val="left"/>
            </w:pPr>
            <w:r>
              <w:t xml:space="preserve">Presentation of results and sustained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The collaborator is budgeted at UNIGE support-personnel rates within the CHF 250,000 ceiling,</w:t>
      </w:r>
      <w:r>
        <w:t xml:space="preserve"> </w:t>
      </w:r>
      <w:r>
        <w:t xml:space="preserve">alongside computing, data, travel and Open Research Data costs.</w:t>
      </w:r>
    </w:p>
    <w:bookmarkEnd w:id="77"/>
    <w:bookmarkStart w:id="78" w:name="Xb831fe5625dc49905e0046fa2cb3995c1bcf22a"/>
    <w:p>
      <w:pPr>
        <w:pStyle w:val="Heading4"/>
      </w:pPr>
      <w:r>
        <w:t xml:space="preserve">2.3.3.4 Preparatory work before the grant starts</w:t>
      </w:r>
    </w:p>
    <w:p>
      <w:pPr>
        <w:pStyle w:val="FirstParagraph"/>
      </w:pPr>
      <w:r>
        <w:t xml:space="preserve">Advanced before month 1, as preparatory conditions rather than grant-funded work:</w:t>
      </w:r>
      <w:r>
        <w:t xml:space="preserve"> </w:t>
      </w:r>
      <w:r>
        <w:rPr>
          <w:bCs/>
          <w:b/>
        </w:rPr>
        <w:t xml:space="preserve">data agreements</w:t>
      </w:r>
      <w:r>
        <w:t xml:space="preserve"> </w:t>
      </w:r>
      <w:r>
        <w:t xml:space="preserve">with HUG and 144/CASU;</w:t>
      </w:r>
      <w:r>
        <w:t xml:space="preserve"> </w:t>
      </w:r>
      <w:r>
        <w:rPr>
          <w:bCs/>
          <w:b/>
        </w:rPr>
        <w:t xml:space="preserve">CCER preparation with myself as applicant</w:t>
      </w:r>
      <w:r>
        <w:t xml:space="preserve">; and</w:t>
      </w:r>
      <w:r>
        <w:t xml:space="preserve"> </w:t>
      </w:r>
      <w:r>
        <w:rPr>
          <w:bCs/>
          <w:b/>
        </w:rPr>
        <w:t xml:space="preserve">infrastructure hardening</w:t>
      </w:r>
      <w:r>
        <w:t xml:space="preserve"> </w:t>
      </w:r>
      <w:r>
        <w:t xml:space="preserve">of LiteRev-Evidence before clinical data connect. Feasibility rests on one structural property (</w:t>
      </w:r>
      <w:r>
        <w:rPr>
          <w:bCs/>
          <w:b/>
        </w:rPr>
        <w:t xml:space="preserve">the instrument already exists</w:t>
      </w:r>
      <w:r>
        <w:t xml:space="preserve">) and on the fallbacks above, each leaving the central question answerable with the claim narrowed and the narrowing stated.</w:t>
      </w:r>
    </w:p>
    <w:p>
      <w:r>
        <w:pict>
          <v:rect style="width:0;height:1.5pt" o:hralign="center" o:hrstd="t" o:hr="t"/>
        </w:pict>
      </w:r>
    </w:p>
    <w:bookmarkEnd w:id="78"/>
    <w:bookmarkEnd w:id="79"/>
    <w:bookmarkEnd w:id="80"/>
    <w:bookmarkStart w:id="85" w:name="X10aa73bd92b9e3b0d0e8f9aceaa1d28354da000"/>
    <w:p>
      <w:pPr>
        <w:pStyle w:val="Heading2"/>
      </w:pPr>
      <w:r>
        <w:t xml:space="preserve">2.4 Schedule and milestones</w:t>
      </w:r>
    </w:p>
    <w:p>
      <w:pPr>
        <w:pStyle w:val="FirstParagraph"/>
      </w:pPr>
      <w:r>
        <w:drawing>
          <wp:inline>
            <wp:extent cx="5334000" cy="3429762"/>
            <wp:effectExtent b="0" l="0" r="0" t="0"/>
            <wp:docPr descr="Work plan" title="" id="82" name="Picture"/>
            <a:graphic>
              <a:graphicData uri="http://schemas.openxmlformats.org/drawingml/2006/picture">
                <pic:pic>
                  <pic:nvPicPr>
                    <pic:cNvPr descr="figures/fig2-gantt.svg" id="83" name="Picture"/>
                    <pic:cNvPicPr>
                      <a:picLocks noChangeArrowheads="1" noChangeAspect="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3429762"/>
                    </a:xfrm>
                    <a:prstGeom prst="rect">
                      <a:avLst/>
                    </a:prstGeom>
                    <a:noFill/>
                    <a:ln w="9525">
                      <a:noFill/>
                      <a:headEnd/>
                      <a:tailEnd/>
                    </a:ln>
                  </pic:spPr>
                </pic:pic>
              </a:graphicData>
            </a:graphic>
          </wp:inline>
        </w:drawing>
      </w:r>
      <w:r>
        <w:t xml:space="preserve"> </w:t>
      </w:r>
      <w:r>
        <w:rPr>
          <w:iCs/>
          <w:i/>
        </w:rPr>
        <w:t xml:space="preserve">Figure 2: work packages, tasks and milestones over 48 months. See</w:t>
      </w:r>
      <w:r>
        <w:rPr>
          <w:iCs/>
          <w:i/>
        </w:rPr>
        <w:t xml:space="preserve"> </w:t>
      </w:r>
      <w:r>
        <w:rPr>
          <w:rStyle w:val="VerbatimChar"/>
          <w:iCs/>
          <w:i/>
        </w:rPr>
        <w:t xml:space="preserve">figures/</w:t>
      </w:r>
      <w:r>
        <w:rPr>
          <w:iCs/>
          <w:i/>
        </w:rPr>
        <w:t xml:space="preserve">.</w:t>
      </w:r>
    </w:p>
    <w:p>
      <w:pPr>
        <w:pStyle w:val="BodyText"/>
      </w:pPr>
      <w:r>
        <w:rPr>
          <w:bCs/>
          <w:b/>
        </w:rPr>
        <w:t xml:space="preserve">Who does what.</w:t>
      </w:r>
      <w:r>
        <w:t xml:space="preserve"> </w:t>
      </w:r>
      <w:r>
        <w:t xml:space="preserve">I execute WP2 and WP3's confirmatory evaluation design personally, and lead</w:t>
      </w:r>
      <w:r>
        <w:t xml:space="preserve"> </w:t>
      </w:r>
      <w:r>
        <w:t xml:space="preserve">WP1's protocol, WP3's analysis and WP4's decision work. One</w:t>
      </w:r>
      <w:r>
        <w:t xml:space="preserve"> </w:t>
      </w:r>
      <w:r>
        <w:rPr>
          <w:bCs/>
          <w:b/>
        </w:rPr>
        <w:t xml:space="preserve">scientific/technical collaborator</w:t>
      </w:r>
      <w:r>
        <w:t xml:space="preserve"> </w:t>
      </w:r>
      <w:r>
        <w:t xml:space="preserve">(support personnel, 50% over 48 months) is requested, justified by three labour-intensive, fully</w:t>
      </w:r>
      <w:r>
        <w:t xml:space="preserve"> </w:t>
      </w:r>
      <w:r>
        <w:t xml:space="preserve">specified tasks the PI cannot absorb: second independent extractor for T1.2's benchmark, the</w:t>
      </w:r>
      <w:r>
        <w:t xml:space="preserve"> </w:t>
      </w:r>
      <w:r>
        <w:t xml:space="preserve">T3.1–T3.2 harmonisation and rolling-origin pipeline, and the reproducibility engineering behind</w:t>
      </w:r>
      <w:r>
        <w:t xml:space="preserve"> </w:t>
      </w:r>
      <w:r>
        <w:t xml:space="preserve">D1.1 and D3.1. No other personnel are requested. Collaborators contribute defined inputs: DS4DH</w:t>
      </w:r>
      <w:r>
        <w:t xml:space="preserve"> </w:t>
      </w:r>
      <w:r>
        <w:t xml:space="preserve">the biomedical NLP for T1.3; HUG and CASU-144 the data access and T4.1 elicitation.</w:t>
      </w:r>
    </w:p>
    <w:p>
      <w:pPr>
        <w:pStyle w:val="BodyText"/>
      </w:pPr>
      <w:r>
        <w:t xml:space="preserve">The design avoids a serial chain in which one uncertain result stops the project: WP2 falls back to weakly informative priors if WP1 finds extraction inadequate, WP3 to open surveillance data if operational access is delayed, and WP4's decision analysis is retrospective, independent of prospective deployment.</w:t>
      </w:r>
    </w:p>
    <w:p>
      <w:pPr>
        <w:pStyle w:val="BodyText"/>
      </w:pPr>
      <w:r>
        <w:rPr>
          <w:bCs/>
          <w:b/>
        </w:rPr>
        <w:t xml:space="preserve">What the data fallback costs, stated plainly.</w:t>
      </w:r>
      <w:r>
        <w:t xml:space="preserve"> </w:t>
      </w:r>
      <w:r>
        <w:t xml:space="preserve">Open surveillance series are not the same outcome as emergency-system demand. Falling back</w:t>
      </w:r>
      <w:r>
        <w:t xml:space="preserve"> </w:t>
      </w:r>
      <w:r>
        <w:rPr>
          <w:bCs/>
          <w:b/>
        </w:rPr>
        <w:t xml:space="preserve">preserves the methodological test but narrows the outcome claim</w:t>
      </w:r>
      <w:r>
        <w:t xml:space="preserve">, from operational demand to routinely observed crisis indicators, and turns most of WP4's decision analysis illustrative. Hence the agreements are a pre-award action, not a risk to manage later.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Retrospective information set harmonised, or open-data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on the pre-specified ladder</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Cross-domain and prospective validation where feasible</w:t>
            </w:r>
          </w:p>
        </w:tc>
      </w:tr>
    </w:tbl>
    <w:p>
      <w:r>
        <w:pict>
          <v:rect style="width:0;height:1.5pt" o:hralign="center" o:hrstd="t" o:hr="t"/>
        </w:pict>
      </w:r>
    </w:p>
    <w:bookmarkEnd w:id="85"/>
    <w:bookmarkStart w:id="88" w:name="Xfa74544992b8a2e9fab533cfaf936bad7ec032c"/>
    <w:p>
      <w:pPr>
        <w:pStyle w:val="Heading2"/>
      </w:pPr>
      <w:r>
        <w:t xml:space="preserve">2.5 Relevance and impact</w:t>
      </w:r>
    </w:p>
    <w:bookmarkStart w:id="86" w:name="scientific-relevance"/>
    <w:p>
      <w:pPr>
        <w:pStyle w:val="Heading3"/>
      </w:pPr>
      <w:r>
        <w:t xml:space="preserve">Scientific relevance</w:t>
      </w:r>
    </w:p>
    <w:p>
      <w:pPr>
        <w:pStyle w:val="FirstParagraph"/>
      </w:pPr>
      <w:r>
        <w:t xml:space="preserve">The project tests an assumption crisis forecasting makes informally: that accumulated evidence from elsewhere is useful when local outcome data are insufficient. The result is useful either way: a principled, auditable way to borrow if priors help; a stated boundary if not.</w:t>
      </w:r>
    </w:p>
    <w:p>
      <w:pPr>
        <w:pStyle w:val="BodyText"/>
      </w:pPr>
      <w:r>
        <w:rPr>
          <w:bCs/>
          <w:b/>
        </w:rPr>
        <w:t xml:space="preserve">A null result changes identifiable practice.</w:t>
      </w:r>
      <w:r>
        <w:t xml:space="preserve"> </w:t>
      </w:r>
      <w:r>
        <w:t xml:space="preserve">Modellers advising preparedness routinely seed early-crisis models with parameters lifted from a few studies, and evidence-synthesis platforms (including my own) assume pooled estimates are reusable as priors. A calibrated null tells those groups the practice buys nothing where it is most used, and that effort belongs in acquiring local observations faster, not pooling external ones harder. A change of course, not an absence of finding.</w:t>
      </w:r>
    </w:p>
    <w:p>
      <w:pPr>
        <w:pStyle w:val="BodyText"/>
      </w:pPr>
      <w:r>
        <w:rPr>
          <w:bCs/>
          <w:b/>
        </w:rPr>
        <w:t xml:space="preserve">Form of publication.</w:t>
      </w:r>
      <w:r>
        <w:t xml:space="preserve"> </w:t>
      </w:r>
      <w:r>
        <w:t xml:space="preserve">Results appear as</w:t>
      </w:r>
      <w:r>
        <w:t xml:space="preserve"> </w:t>
      </w:r>
      <w:r>
        <w:rPr>
          <w:bCs/>
          <w:b/>
        </w:rPr>
        <w:t xml:space="preserve">articles in peer-reviewed journals</w:t>
      </w:r>
      <w:r>
        <w:t xml:space="preserve"> </w:t>
      </w:r>
      <w:r>
        <w:t xml:space="preserve">(</w:t>
      </w:r>
      <w:r>
        <w:t xml:space="preserve"> </w:t>
      </w:r>
      <w:r>
        <w:t xml:space="preserve">methodological work in biostatistics and evidence-synthesis venues, applied results in</w:t>
      </w:r>
      <w:r>
        <w:t xml:space="preserve"> </w:t>
      </w:r>
      <w:r>
        <w:t xml:space="preserve">infectious-disease epidemiology and emergency/health-services journals), with preprints on</w:t>
      </w:r>
      <w:r>
        <w:t xml:space="preserve"> </w:t>
      </w:r>
      <w:r>
        <w:t xml:space="preserve">submission and open access throughout. The benchmark, evidence-to-prior library and evaluation</w:t>
      </w:r>
      <w:r>
        <w:t xml:space="preserve"> </w:t>
      </w:r>
      <w:r>
        <w:t xml:space="preserve">code are released as</w:t>
      </w:r>
      <w:r>
        <w:t xml:space="preserve"> </w:t>
      </w:r>
      <w:r>
        <w:rPr>
          <w:bCs/>
          <w:b/>
        </w:rPr>
        <w:t xml:space="preserve">citable, versioned open datasets and software</w:t>
      </w:r>
      <w:r>
        <w:t xml:space="preserve">. Results are presented at</w:t>
      </w:r>
      <w:r>
        <w:t xml:space="preserve"> </w:t>
      </w:r>
      <w:r>
        <w:t xml:space="preserve">international conferences and returned to the operational partners who supplied the data.</w:t>
      </w:r>
    </w:p>
    <w:p>
      <w:pPr>
        <w:pStyle w:val="BodyText"/>
      </w:pPr>
      <w:r>
        <w:t xml:space="preserve">The project leaves three durable resources, subordinate to the central question:</w:t>
      </w:r>
      <w:r>
        <w:t xml:space="preserve"> </w:t>
      </w:r>
      <w:r>
        <w:rPr>
          <w:bCs/>
          <w:b/>
        </w:rPr>
        <w:t xml:space="preserve">a quantitative extraction benchmark</w:t>
      </w:r>
      <w:r>
        <w:t xml:space="preserve"> </w:t>
      </w:r>
      <w:r>
        <w:t xml:space="preserve">testing whether automated synthesis preserves the uncertainty quantitative reuse needs;</w:t>
      </w:r>
      <w:r>
        <w:t xml:space="preserve"> </w:t>
      </w:r>
      <w:r>
        <w:rPr>
          <w:bCs/>
          <w:b/>
        </w:rPr>
        <w:t xml:space="preserve">an open reference framework</w:t>
      </w:r>
      <w:r>
        <w:t xml:space="preserve"> </w:t>
      </w:r>
      <w:r>
        <w:t xml:space="preserve">for evidence-informed latent-state forecasting with explicit borrowing, conflict detection and calibration; and</w:t>
      </w:r>
      <w:r>
        <w:t xml:space="preserve"> </w:t>
      </w:r>
      <w:r>
        <w:rPr>
          <w:bCs/>
          <w:b/>
        </w:rPr>
        <w:t xml:space="preserve">a decision-analytic evaluation framework</w:t>
      </w:r>
      <w:r>
        <w:t xml:space="preserve"> </w:t>
      </w:r>
      <w:r>
        <w:t xml:space="preserve">showing when a statistical improvement matters operationally. The project is not a new extraction system, an early-warning indicator or a forecasting competition.</w:t>
      </w:r>
    </w:p>
    <w:bookmarkEnd w:id="86"/>
    <w:bookmarkStart w:id="87" w:name="practical-and-societal-impact"/>
    <w:p>
      <w:pPr>
        <w:pStyle w:val="Heading3"/>
      </w:pPr>
      <w:r>
        <w:t xml:space="preserve">Practical and societal impact</w:t>
      </w:r>
    </w:p>
    <w:p>
      <w:pPr>
        <w:pStyle w:val="FirstParagraph"/>
      </w:pPr>
      <w:r>
        <w:t xml:space="preserve">The practical contribution is preparedness rather than a promised clinical deployment. In a crisis's first weeks, emergency systems must decide whether to open capacity, redistribute resources or escalate before local outcomes provide a reliable base. The project quantifies whether external evidence improves those decisions and how much uncertainty should remain around the recommendation. Geneva provides the operational anchor; the contrasting validation domains show what transfers and what does not.</w:t>
      </w:r>
    </w:p>
    <w:bookmarkEnd w:id="87"/>
    <w:bookmarkEnd w:id="88"/>
    <w:bookmarkStart w:id="89"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methodological apparatus, the instrument and the domain access this project needs, and I have used all three inside other people's programmes. What I have not had is a research agenda that is mine to set, with the time to pursue it. Ambizione would mark that transition, at the point where the question is sharp enough to answer and the components are in place. My trajectory developed inside collaborative environments at UNIGE, stated in full.</w:t>
      </w:r>
    </w:p>
    <w:p>
      <w:pPr>
        <w:pStyle w:val="BodyText"/>
      </w:pPr>
      <w:r>
        <w:t xml:space="preserve">Since 2019 I have worked on automated evidence extraction, led LiteRev and LiteRev-Evidence, and obtained development funding on my own initiative (CHF 30,000 UNIGE; CHF 10,000 Venture Kick; CHF 20,000 Mimosa). I have applied those capabilities in collaborative programmes; none has this project's objective.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 prediction and healthcare-resource optimisation</w:t>
            </w:r>
          </w:p>
        </w:tc>
        <w:tc>
          <w:tcPr/>
          <w:p>
            <w:pPr>
              <w:pStyle w:val="Compact"/>
              <w:jc w:val="left"/>
            </w:pPr>
            <w:r>
              <w:t xml:space="preserve">Contributor</w:t>
            </w:r>
          </w:p>
        </w:tc>
        <w:tc>
          <w:tcPr/>
          <w:p>
            <w:pPr>
              <w:pStyle w:val="Compact"/>
              <w:jc w:val="left"/>
            </w:pPr>
            <w:r>
              <w:t xml:space="preserve">Builds decision-support capability; does not test evidence-derived priors</w:t>
            </w:r>
          </w:p>
        </w:tc>
      </w:tr>
      <w:tr>
        <w:tc>
          <w:tcPr/>
          <w:p>
            <w:pPr>
              <w:pStyle w:val="Compact"/>
              <w:jc w:val="left"/>
            </w:pPr>
            <w:r>
              <w:t xml:space="preserve">GeoAI4EI (Horizon Europe, 2026–2030)</w:t>
            </w:r>
          </w:p>
        </w:tc>
        <w:tc>
          <w:tcPr/>
          <w:p>
            <w:pPr>
              <w:pStyle w:val="Compact"/>
              <w:jc w:val="left"/>
            </w:pPr>
            <w:r>
              <w:t xml:space="preserve">European epidemic-intelligence toolbox integrating geospatial, environmental and epidemiological data with AI</w:t>
            </w:r>
          </w:p>
        </w:tc>
        <w:tc>
          <w:tcPr/>
          <w:p>
            <w:pPr>
              <w:pStyle w:val="Compact"/>
              <w:jc w:val="left"/>
            </w:pPr>
            <w:r>
              <w:t xml:space="preserve">Contributor</w:t>
            </w:r>
          </w:p>
        </w:tc>
        <w:tc>
          <w:tcPr/>
          <w:p>
            <w:pPr>
              <w:pStyle w:val="Compact"/>
              <w:jc w:val="left"/>
            </w:pPr>
            <w:r>
              <w:t xml:space="preserve">Builds infrastructure; does not test the inferential value of borrowed evidence</w:t>
            </w:r>
          </w:p>
        </w:tc>
      </w:tr>
      <w:tr>
        <w:tc>
          <w:tcPr/>
          <w:p>
            <w:pPr>
              <w:pStyle w:val="Compact"/>
              <w:jc w:val="left"/>
            </w:pPr>
            <w:r>
              <w:t xml:space="preserve">Legionellosis study (ongoing)</w:t>
            </w:r>
          </w:p>
        </w:tc>
        <w:tc>
          <w:tcPr/>
          <w:p>
            <w:pPr>
              <w:pStyle w:val="Compact"/>
              <w:jc w:val="left"/>
            </w:pPr>
            <w:r>
              <w:t xml:space="preserve">Environmental determinants of a Geneva waterborne outbreak</w:t>
            </w:r>
          </w:p>
        </w:tc>
        <w:tc>
          <w:tcPr/>
          <w:p>
            <w:pPr>
              <w:pStyle w:val="Compact"/>
              <w:jc w:val="left"/>
            </w:pPr>
            <w:r>
              <w:t xml:space="preserve">Data/scientific lead</w:t>
            </w:r>
          </w:p>
        </w:tc>
        <w:tc>
          <w:tcPr/>
          <w:p>
            <w:pPr>
              <w:pStyle w:val="Compact"/>
              <w:jc w:val="left"/>
            </w:pPr>
            <w:r>
              <w:t xml:space="preserve">Supplies a contrasting validation extension, not the central question</w:t>
            </w:r>
          </w:p>
        </w:tc>
      </w:tr>
      <w:tr>
        <w:tc>
          <w:tcPr/>
          <w:p>
            <w:pPr>
              <w:pStyle w:val="Compact"/>
              <w:jc w:val="left"/>
            </w:pPr>
            <w:r>
              <w:t xml:space="preserve">MAS in Public Health</w:t>
            </w:r>
          </w:p>
        </w:tc>
        <w:tc>
          <w:tcPr/>
          <w:p>
            <w:pPr>
              <w:pStyle w:val="Compact"/>
              <w:jc w:val="left"/>
            </w:pPr>
            <w:r>
              <w:t xml:space="preserve">Teaching</w:t>
            </w:r>
          </w:p>
        </w:tc>
        <w:tc>
          <w:tcPr/>
          <w:p>
            <w:pPr>
              <w:pStyle w:val="Compact"/>
              <w:jc w:val="left"/>
            </w:pPr>
            <w:r>
              <w:t xml:space="preserve">Statistics and epidemiology</w:t>
            </w:r>
          </w:p>
        </w:tc>
        <w:tc>
          <w:tcPr/>
          <w:p>
            <w:pPr>
              <w:pStyle w:val="Compact"/>
              <w:jc w:val="left"/>
            </w:pPr>
            <w:r>
              <w:t xml:space="preserve">Not a research programme</w:t>
            </w:r>
          </w:p>
        </w:tc>
      </w:tr>
      <w:tr>
        <w:tc>
          <w:tcPr/>
          <w:p>
            <w:pPr>
              <w:pStyle w:val="Compact"/>
              <w:jc w:val="left"/>
            </w:pPr>
            <w:r>
              <w:rPr>
                <w:bCs/>
                <w:b/>
              </w:rPr>
              <w:t xml:space="preserve">Ambizione</w:t>
            </w:r>
          </w:p>
        </w:tc>
        <w:tc>
          <w:tcPr/>
          <w:p>
            <w:pPr>
              <w:pStyle w:val="Compact"/>
              <w:jc w:val="left"/>
            </w:pPr>
            <w:r>
              <w:rPr>
                <w:bCs/>
                <w:b/>
              </w:rPr>
              <w:t xml:space="preserve">Establish when evidence-derived priors help cold-start forecasting and when they harm it</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w:t>
      </w:r>
      <w:r>
        <w:t xml:space="preserve">It uses existing infrastructures to test a question that is a work package of none of them.</w:t>
      </w:r>
    </w:p>
    <w:p>
      <w:pPr>
        <w:pStyle w:val="BodyText"/>
      </w:pPr>
      <w:r>
        <w:rPr>
          <w:bCs/>
          <w:b/>
        </w:rPr>
        <w:t xml:space="preserve">The question and the methods are mine.</w:t>
      </w:r>
      <w:r>
        <w:t xml:space="preserve"> </w:t>
      </w:r>
      <w:r>
        <w:t xml:space="preserve">It arose from a problem I met building LiteRev-Evidence: the platform could pool published estimates into priors, but nothing established whether those priors improved forecasting in a new setting. The methodological core came from fifteen years of quantitative finance, inherited from no group I have worked in. The platform is UNIGE intellectual property developed under my scientific direction.</w:t>
      </w:r>
    </w:p>
    <w:p>
      <w:pPr>
        <w:pStyle w:val="BodyText"/>
      </w:pPr>
      <w:r>
        <w:rPr>
          <w:bCs/>
          <w:b/>
        </w:rPr>
        <w:t xml:space="preserve">On collaborators, stated plainly.</w:t>
      </w:r>
      <w:r>
        <w:t xml:space="preserve"> </w:t>
      </w:r>
      <w:r>
        <w:t xml:space="preserve">Prof. Olivia Keiser leads the group in which I developed LiteRev, directs the MAS on which I teach, and leads the legionellosis study and GeoAI4EI; she co-authors my doctoral and post-doctoral output (the expected profile at this stage) and remains an important collaborator, with no role here. Prof. Douglas Teodoro leads GESICA and provides the WP1 biomedical-NLP collaboration.</w:t>
      </w:r>
    </w:p>
    <w:p>
      <w:pPr>
        <w:pStyle w:val="BodyText"/>
      </w:pPr>
      <w:r>
        <w:rPr>
          <w:bCs/>
          <w:b/>
        </w:rPr>
        <w:t xml:space="preserve">The organisational position is the substance of the transition.</w:t>
      </w:r>
      <w:r>
        <w:t xml:space="preserve"> </w:t>
      </w:r>
      <w:r>
        <w:t xml:space="preserve">The project will be hosted by the</w:t>
      </w:r>
      <w:r>
        <w:t xml:space="preserve"> </w:t>
      </w:r>
      <w:r>
        <w:rPr>
          <w:bCs/>
          <w:b/>
        </w:rPr>
        <w:t xml:space="preserve">Institute of Global Health</w:t>
      </w:r>
      <w:r>
        <w:t xml:space="preserve">, where I will lead an independent research programme rather than continue as a member of an existing group, in collaboration with the Institute's groups, including the one in which I developed LiteRev. The host arrangements, and the institutional guarantees of the PI's independence, are documented in the required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This project establishes my independent research programme at the intersection of automated evidence synthesis, quantitative modelling of rare transitions and emergency public health: when published evidence can, and cannot, substitute for missing local data, how its uncertainty should propagate, and when external evidence turns harmful rather than informative. By month 48 I intend to hold a validated answer, two open resources the field can build on, and a first-author methodological record in my own name: the basis for a group-leadership position or professorship. The follow-on programme relaxes the boundary this project keeps deliberately clean: fusing evidence streams of different velocity (literature, situational reporting, structured feeds) in one calibrated state model, conflict monitoring deciding how much each may say. This project supplies the evidence on whether borrowing helps and where it fails: an opening move, not a single study. The grant's full-time commitment makes that possible: my research time is currently divided across four collaborative programmes; Ambizione consolidates it into one.</w:t>
      </w:r>
    </w:p>
    <w:p>
      <w:r>
        <w:pict>
          <v:rect style="width:0;height:1.5pt" o:hralign="center" o:hrstd="t" o:hr="t"/>
        </w:pict>
      </w:r>
    </w:p>
    <w:bookmarkEnd w:id="89"/>
    <w:bookmarkEnd w:id="90"/>
    <w:bookmarkStart w:id="105" w:name="bibliography"/>
    <w:p>
      <w:pPr>
        <w:pStyle w:val="Heading1"/>
      </w:pPr>
      <w:r>
        <w:t xml:space="preserve">Bibliography</w:t>
      </w:r>
    </w:p>
    <w:p>
      <w:pPr>
        <w:pStyle w:val="Heading2"/>
      </w:pPr>
      <w:bookmarkStart w:id="91" w:name="status-of-this-list"/>
      <w:r>
        <w:t xml:space="preserve">Status of this list</w:t>
      </w:r>
      <w:bookmarkEnd w:id="91"/>
    </w:p>
    <w:p>
      <w:pPr>
        <w:pStyle w:val="BlockText"/>
      </w:pPr>
      <w:r>
        <w:rPr>
          <w:bCs/>
          <w:b/>
        </w:rPr>
        <w:t xml:space="preserve">Two formal requirements from the call documents (Guidelines, "Bibliography"):</w:t>
      </w:r>
      <w:r>
        <w:t xml:space="preserve"> </w:t>
      </w:r>
      <w:r>
        <w:t xml:space="preserve">(1)</w:t>
      </w:r>
      <w:r>
        <w:t xml:space="preserve"> </w:t>
      </w:r>
      <w:r>
        <w:rPr>
          <w:bCs/>
          <w:b/>
        </w:rPr>
        <w:t xml:space="preserve">Do not use "et al."</w:t>
      </w:r>
      <w:r>
        <w:t xml:space="preserve">; give the full author list. The only exception is a publication</w:t>
      </w:r>
      <w:r>
        <w:t xml:space="preserve"> </w:t>
      </w:r>
      <w:r>
        <w:t xml:space="preserve">involving a large international consortium with</w:t>
      </w:r>
      <w:r>
        <w:t xml:space="preserve"> </w:t>
      </w:r>
      <w:r>
        <w:rPr>
          <w:bCs/>
          <w:b/>
        </w:rPr>
        <w:t xml:space="preserve">over 50 authors</w:t>
      </w:r>
      <w:r>
        <w:t xml:space="preserve">. (2) Give the full reference</w:t>
      </w:r>
      <w:r>
        <w:t xml:space="preserve"> </w:t>
      </w:r>
      <w:r>
        <w:t xml:space="preserve">including</w:t>
      </w:r>
      <w:r>
        <w:t xml:space="preserve"> </w:t>
      </w:r>
      <w:r>
        <w:rPr>
          <w:bCs/>
          <w:b/>
        </w:rPr>
        <w:t xml:space="preserve">title, source and a DOI where possible</w:t>
      </w:r>
      <w:r>
        <w:t xml:space="preserve">. Entries below marked</w:t>
      </w:r>
      <w:r>
        <w:t xml:space="preserve"> </w:t>
      </w:r>
      <w:r>
        <w:rPr>
          <w:rStyle w:val="VerbatimChar"/>
        </w:rPr>
        <w:t xml:space="preserve">[[FULL AUTHOR LIST REQUIRED]]</w:t>
      </w:r>
      <w:r>
        <w:t xml:space="preserve"> </w:t>
      </w:r>
      <w:r>
        <w:t xml:space="preserve">must be completed from the publisher record; I have not invented</w:t>
      </w:r>
      <w:r>
        <w:t xml:space="preserve"> </w:t>
      </w:r>
      <w:r>
        <w:t xml:space="preserve">names. Only three entries currently carry a DOI; add the rest.</w:t>
      </w:r>
    </w:p>
    <w:p>
      <w:pPr>
        <w:pStyle w:val="BlockText"/>
      </w:pPr>
      <w:r>
        <w:t xml:space="preserve">Note also:</w:t>
      </w:r>
      <w:r>
        <w:t xml:space="preserve"> </w:t>
      </w:r>
      <w:r>
        <w:rPr>
          <w:bCs/>
          <w:b/>
        </w:rPr>
        <w:t xml:space="preserve">links to websites are not permitted</w:t>
      </w:r>
      <w:r>
        <w:t xml:space="preserve"> </w:t>
      </w:r>
      <w:r>
        <w:t xml:space="preserve">anywhere in the research plan or bibliography.</w:t>
      </w:r>
    </w:p>
    <w:p>
      <w:pPr>
        <w:pStyle w:val="BlockText"/>
      </w:pPr>
      <w:r>
        <w:t xml:space="preserve">The references below were</w:t>
      </w:r>
      <w:r>
        <w:t xml:space="preserve"> </w:t>
      </w:r>
      <w:r>
        <w:rPr>
          <w:bCs/>
          <w:b/>
        </w:rPr>
        <w:t xml:space="preserve">located and cross-checked against search results during drafting</w:t>
      </w:r>
      <w:r>
        <w:t xml:space="preserve">.</w:t>
      </w:r>
      <w:r>
        <w:t xml:space="preserve"> </w:t>
      </w:r>
      <w:r>
        <w:t xml:space="preserve">They are real works, and the attributions match what the sources report. They are</w:t>
      </w:r>
      <w:r>
        <w:t xml:space="preserve"> </w:t>
      </w:r>
      <w:r>
        <w:rPr>
          <w:bCs/>
          <w:b/>
        </w:rPr>
        <w:t xml:space="preserve">not yet</w:t>
      </w:r>
      <w:r>
        <w:rPr>
          <w:bCs/>
          <w:b/>
        </w:rPr>
        <w:t xml:space="preserve"> </w:t>
      </w:r>
      <w:r>
        <w:rPr>
          <w:bCs/>
          <w:b/>
        </w:rPr>
        <w:t xml:space="preserve">verified against the articles themselves</w:t>
      </w:r>
      <w:r>
        <w:t xml:space="preserve">; volume, issue, page numbers and exact author lists</w:t>
      </w:r>
      <w:r>
        <w:t xml:space="preserve"> </w:t>
      </w:r>
      <w:r>
        <w:t xml:space="preserve">must be confirmed from the publisher record before submission, and three entries flagged</w:t>
      </w:r>
      <w:r>
        <w:t xml:space="preserve"> </w:t>
      </w:r>
      <w:r>
        <w:rPr>
          <w:rStyle w:val="VerbatimChar"/>
        </w:rPr>
        <w:t xml:space="preserve">verify authorship</w:t>
      </w:r>
      <w:r>
        <w:t xml:space="preserve"> </w:t>
      </w:r>
      <w:r>
        <w:t xml:space="preserve">below are ones where the search returned the work but not a reliable author</w:t>
      </w:r>
      <w:r>
        <w:t xml:space="preserve"> </w:t>
      </w:r>
      <w:r>
        <w:t xml:space="preserve">list.</w:t>
      </w:r>
    </w:p>
    <w:p>
      <w:pPr>
        <w:pStyle w:val="BlockText"/>
      </w:pPr>
      <w:r>
        <w:t xml:space="preserve">I have</w:t>
      </w:r>
      <w:r>
        <w:t xml:space="preserve"> </w:t>
      </w:r>
      <w:r>
        <w:rPr>
          <w:bCs/>
          <w:b/>
        </w:rPr>
        <w:t xml:space="preserve">not generated any citation I could not locate.</w:t>
      </w:r>
      <w:r>
        <w:t xml:space="preserve"> </w:t>
      </w:r>
      <w:r>
        <w:t xml:space="preserve">Where §2.1 makes a claim I could not</w:t>
      </w:r>
      <w:r>
        <w:t xml:space="preserve"> </w:t>
      </w:r>
      <w:r>
        <w:t xml:space="preserve">source, it carries a</w:t>
      </w:r>
      <w:r>
        <w:t xml:space="preserve"> </w:t>
      </w:r>
      <w:r>
        <w:rPr>
          <w:rStyle w:val="VerbatimChar"/>
        </w:rPr>
        <w:t xml:space="preserve">[[…]]</w:t>
      </w:r>
      <w:r>
        <w:t xml:space="preserve"> </w:t>
      </w:r>
      <w:r>
        <w:t xml:space="preserve">marker asking you to supply the reference from your own reading</w:t>
      </w:r>
      <w:r>
        <w:t xml:space="preserve"> </w:t>
      </w:r>
      <w:r>
        <w:t xml:space="preserve">rather than a plausible-looking placeholder.</w:t>
      </w:r>
    </w:p>
    <w:p>
      <w:pPr>
        <w:pStyle w:val="BlockText"/>
      </w:pPr>
      <w:r>
        <w:t xml:space="preserve">The same warning applies with more force to</w:t>
      </w:r>
      <w:r>
        <w:t xml:space="preserve"> </w:t>
      </w:r>
      <w:r>
        <w:rPr>
          <w:rStyle w:val="VerbatimChar"/>
        </w:rPr>
        <w:t xml:space="preserve">GESICA_Scientific_Base.md</w:t>
      </w:r>
      <w:r>
        <w:t xml:space="preserve"> </w:t>
      </w:r>
      <w:r>
        <w:t xml:space="preserve">and</w:t>
      </w:r>
      <w:r>
        <w:t xml:space="preserve"> </w:t>
      </w:r>
      <w:r>
        <w:rPr>
          <w:rStyle w:val="VerbatimChar"/>
        </w:rPr>
        <w:t xml:space="preserve">ROADMAP.md</w:t>
      </w:r>
      <w:r>
        <w:t xml:space="preserve"> </w:t>
      </w:r>
      <w:r>
        <w:t xml:space="preserve">in the</w:t>
      </w:r>
      <w:r>
        <w:t xml:space="preserve"> </w:t>
      </w:r>
      <w:r>
        <w:t xml:space="preserve">LiteRev-Evidence repository: those are automatically generated and attribute specific</w:t>
      </w:r>
      <w:r>
        <w:t xml:space="preserve"> </w:t>
      </w:r>
      <w:r>
        <w:t xml:space="preserve">performance figures to named papers. Verify every one before reuse.</w:t>
      </w:r>
    </w:p>
    <w:p>
      <w:pPr>
        <w:pStyle w:val="BlockText"/>
      </w:pPr>
      <w:r>
        <w:t xml:space="preserve">LiteRev is the right instrument for completing this list; particularly for §2.1.4, where the</w:t>
      </w:r>
      <w:r>
        <w:t xml:space="preserve"> </w:t>
      </w:r>
      <w:r>
        <w:t xml:space="preserve">novelty claim needs a documented systematic search you can report if challenged.</w:t>
      </w:r>
    </w:p>
    <w:bookmarkStart w:id="92" w:name="surveillance-and-outbreak-detection"/>
    <w:p>
      <w:pPr>
        <w:pStyle w:val="Heading2"/>
      </w:pPr>
      <w:r>
        <w:t xml:space="preserve">Surveillance and outbreak detection</w:t>
      </w:r>
    </w:p>
    <w:p>
      <w:pPr>
        <w:numPr>
          <w:ilvl w:val="0"/>
          <w:numId w:val="1004"/>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 R Stat Soc A</w:t>
      </w:r>
      <w:r>
        <w:t xml:space="preserve"> </w:t>
      </w:r>
      <w:r>
        <w:t xml:space="preserve">1996;159(3):547–563.</w:t>
      </w:r>
    </w:p>
    <w:p>
      <w:pPr>
        <w:numPr>
          <w:ilvl w:val="0"/>
          <w:numId w:val="1004"/>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 Med</w:t>
      </w:r>
      <w:r>
        <w:t xml:space="preserve"> </w:t>
      </w:r>
      <w:r>
        <w:t xml:space="preserve">2013;32(7):1206–1222.</w:t>
      </w:r>
      <w:r>
        <w:t xml:space="preserve"> </w:t>
      </w:r>
      <w:r>
        <w:rPr>
          <w:rStyle w:val="VerbatimChar"/>
        </w:rPr>
        <w:t xml:space="preserve">[online first 2012; check the year you cite]</w:t>
      </w:r>
    </w:p>
    <w:p>
      <w:pPr>
        <w:numPr>
          <w:ilvl w:val="0"/>
          <w:numId w:val="1004"/>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 Med</w:t>
      </w:r>
      <w:r>
        <w:t xml:space="preserve"> </w:t>
      </w:r>
      <w:r>
        <w:t xml:space="preserve">1999;18(24):3463–3478.</w:t>
      </w:r>
    </w:p>
    <w:p>
      <w:pPr>
        <w:numPr>
          <w:ilvl w:val="0"/>
          <w:numId w:val="1004"/>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 Inform Decis Mak</w:t>
      </w:r>
      <w:r>
        <w:t xml:space="preserve"> </w:t>
      </w:r>
      <w:r>
        <w:t xml:space="preserve">2009;9:39.</w:t>
      </w:r>
      <w:r>
        <w:t xml:space="preserve"> </w:t>
      </w:r>
      <w:r>
        <w:t xml:space="preserve">doi:10.1186/1472-6947-9-39</w:t>
      </w:r>
    </w:p>
    <w:bookmarkEnd w:id="92"/>
    <w:bookmarkStart w:id="93" w:name="prehospital-data-as-a-leading-indicator"/>
    <w:p>
      <w:pPr>
        <w:pStyle w:val="Heading2"/>
      </w:pPr>
      <w:r>
        <w:t xml:space="preserve">Prehospital data as a leading indicator</w:t>
      </w:r>
    </w:p>
    <w:p>
      <w:pPr>
        <w:numPr>
          <w:ilvl w:val="0"/>
          <w:numId w:val="1005"/>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r>
        <w:t xml:space="preserve"> </w:t>
      </w:r>
      <w:r>
        <w:rPr>
          <w:rStyle w:val="VerbatimChar"/>
        </w:rPr>
        <w:t xml:space="preserve">auditor-verified 30 Sep; confirm once against the publisher record</w:t>
      </w:r>
    </w:p>
    <w:p>
      <w:pPr>
        <w:numPr>
          <w:ilvl w:val="0"/>
          <w:numId w:val="1005"/>
        </w:numPr>
        <w:pStyle w:val="Compact"/>
      </w:pPr>
      <w:r>
        <w:rPr>
          <w:bCs/>
          <w:b/>
        </w:rPr>
        <w:t xml:space="preserve">[EMS-ILI 2025]</w:t>
      </w:r>
      <w:r>
        <w:t xml:space="preserve"> </w:t>
      </w:r>
      <w:r>
        <w:rPr>
          <w:rStyle w:val="VerbatimChar"/>
        </w:rPr>
        <w:t xml:space="preserve">[[AUTHOR LIST REQUIRED; from the publisher page; replace this citation key with the first author's name]]</w:t>
      </w:r>
      <w:r>
        <w:t xml:space="preserve">.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r>
        <w:t xml:space="preserve"> </w:t>
      </w:r>
      <w:r>
        <w:rPr>
          <w:rStyle w:val="VerbatimChar"/>
        </w:rPr>
        <w:t xml:space="preserve">final publication is 2025 (online Dec 2024); year corrected; Lombardy, seasons 2014–2024 excl. 2020–2022; note R² ≈ 0.50 supports signal-not-equivalence</w:t>
      </w:r>
    </w:p>
    <w:p>
      <w:pPr>
        <w:numPr>
          <w:ilvl w:val="0"/>
          <w:numId w:val="1005"/>
        </w:numPr>
        <w:pStyle w:val="Compact"/>
      </w:pPr>
      <w:r>
        <w:rPr>
          <w:bCs/>
          <w:b/>
        </w:rPr>
        <w:t xml:space="preserve">[Edjinedja 2026]</w:t>
      </w:r>
      <w:r>
        <w:t xml:space="preserve"> </w:t>
      </w:r>
      <w:r>
        <w:t xml:space="preserve">Edjinedja KL, Larribau R,</w:t>
      </w:r>
      <w:r>
        <w:t xml:space="preserve"> </w:t>
      </w:r>
      <w:r>
        <w:rPr>
          <w:bCs/>
          <w:b/>
        </w:rPr>
        <w:t xml:space="preserve">Orel E</w:t>
      </w:r>
      <w:r>
        <w:t xml:space="preserv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rPr>
          <w:rStyle w:val="VerbatimChar"/>
        </w:rPr>
        <w:t xml:space="preserve">[[submitted 2026; update status and venue before submission]]</w:t>
      </w:r>
    </w:p>
    <w:bookmarkEnd w:id="93"/>
    <w:bookmarkStart w:id="94" w:name="Xcba917f87eab0aeaba11dadf6a8484db0493216"/>
    <w:p>
      <w:pPr>
        <w:pStyle w:val="Heading2"/>
      </w:pPr>
      <w:r>
        <w:t xml:space="preserve">Collaborative forecasting and its evaluation</w:t>
      </w:r>
    </w:p>
    <w:p>
      <w:pPr>
        <w:numPr>
          <w:ilvl w:val="0"/>
          <w:numId w:val="1006"/>
        </w:numPr>
        <w:pStyle w:val="Compact"/>
      </w:pPr>
      <w:r>
        <w:rPr>
          <w:bCs/>
          <w:b/>
        </w:rPr>
        <w:t xml:space="preserve">[Cramer 2022]</w:t>
      </w:r>
      <w:r>
        <w:t xml:space="preserve"> </w:t>
      </w:r>
      <w:r>
        <w:t xml:space="preserve">Cramer EY, Ray EL, Lopez VK, et al.</w:t>
      </w:r>
      <w:r>
        <w:t xml:space="preserve"> </w:t>
      </w:r>
      <w:r>
        <w:rPr>
          <w:iCs/>
          <w:i/>
        </w:rPr>
        <w:t xml:space="preserve">(consortium &gt;50 authors; shortening</w:t>
      </w:r>
      <w:r>
        <w:rPr>
          <w:iCs/>
          <w:i/>
        </w:rPr>
        <w:t xml:space="preserve"> </w:t>
      </w:r>
      <w:r>
        <w:rPr>
          <w:iCs/>
          <w:i/>
        </w:rPr>
        <w:t xml:space="preserve">permitted by the guidelines; verify the count)</w:t>
      </w:r>
      <w:r>
        <w:t xml:space="preserve">. Evaluation of individual and ensemble</w:t>
      </w:r>
      <w:r>
        <w:t xml:space="preserve"> </w:t>
      </w:r>
      <w:r>
        <w:t xml:space="preserve">probabilistic forecasts of COVID-19 mortality in the United States.</w:t>
      </w:r>
      <w:r>
        <w:t xml:space="preserve"> </w:t>
      </w:r>
      <w:r>
        <w:rPr>
          <w:iCs/>
          <w:i/>
        </w:rPr>
        <w:t xml:space="preserve">PNAS</w:t>
      </w:r>
      <w:r>
        <w:t xml:space="preserve"> </w:t>
      </w:r>
      <w:r>
        <w:t xml:space="preserve">2022;119(15):</w:t>
      </w:r>
      <w:r>
        <w:t xml:space="preserve"> </w:t>
      </w:r>
      <w:r>
        <w:t xml:space="preserve">e2113561119. doi:10.1073/pnas.2113561119</w:t>
      </w:r>
    </w:p>
    <w:p>
      <w:pPr>
        <w:numPr>
          <w:ilvl w:val="0"/>
          <w:numId w:val="1006"/>
        </w:numPr>
        <w:pStyle w:val="Compact"/>
      </w:pPr>
      <w:r>
        <w:rPr>
          <w:bCs/>
          <w:b/>
        </w:rPr>
        <w:t xml:space="preserve">[Sherratt 2023]</w:t>
      </w:r>
      <w:r>
        <w:t xml:space="preserve"> </w:t>
      </w:r>
      <w:r>
        <w:t xml:space="preserve">Sherratt K, Gruson H, Grah R, et al.</w:t>
      </w:r>
      <w:r>
        <w:t xml:space="preserve"> </w:t>
      </w:r>
      <w:r>
        <w:rPr>
          <w:iCs/>
          <w:i/>
        </w:rPr>
        <w:t xml:space="preserve">(consortium &gt;50 authors; shortening</w:t>
      </w:r>
      <w:r>
        <w:rPr>
          <w:iCs/>
          <w:i/>
        </w:rPr>
        <w:t xml:space="preserve"> </w:t>
      </w:r>
      <w:r>
        <w:rPr>
          <w:iCs/>
          <w:i/>
        </w:rPr>
        <w:t xml:space="preserve">permitted; verify the count)</w:t>
      </w:r>
      <w:r>
        <w:t xml:space="preserve">. Predictive performance of multi-model</w:t>
      </w:r>
      <w:r>
        <w:t xml:space="preserve"> </w:t>
      </w:r>
      <w:r>
        <w:t xml:space="preserve">ensemble forecasts of COVID-19 across European nations.</w:t>
      </w:r>
      <w:r>
        <w:t xml:space="preserve"> </w:t>
      </w:r>
      <w:r>
        <w:rPr>
          <w:iCs/>
          <w:i/>
        </w:rPr>
        <w:t xml:space="preserve">eLife</w:t>
      </w:r>
      <w:r>
        <w:t xml:space="preserve"> </w:t>
      </w:r>
      <w:r>
        <w:t xml:space="preserve">2023. PMID 37083521.</w:t>
      </w:r>
    </w:p>
    <w:bookmarkEnd w:id="94"/>
    <w:bookmarkStart w:id="95" w:name="evidence-as-prior-information"/>
    <w:p>
      <w:pPr>
        <w:pStyle w:val="Heading2"/>
      </w:pPr>
      <w:r>
        <w:t xml:space="preserve">Evidence as prior information</w:t>
      </w:r>
    </w:p>
    <w:p>
      <w:pPr>
        <w:numPr>
          <w:ilvl w:val="0"/>
          <w:numId w:val="1007"/>
        </w:numPr>
        <w:pStyle w:val="Compact"/>
      </w:pPr>
      <w:r>
        <w:rPr>
          <w:bCs/>
          <w:b/>
        </w:rPr>
        <w:t xml:space="preserve">[Cook 2023]</w:t>
      </w:r>
      <w:r>
        <w:t xml:space="preserve"> </w:t>
      </w:r>
      <w:r>
        <w:t xml:space="preserve">Cook JD,</w:t>
      </w:r>
      <w:r>
        <w:t xml:space="preserve"> </w:t>
      </w:r>
      <w:r>
        <w:rPr>
          <w:rStyle w:val="VerbatimChar"/>
        </w:rPr>
        <w:t xml:space="preserve">[[FULL AUTHOR LIST REQUIRED]]</w:t>
      </w:r>
      <w:r>
        <w:t xml:space="preserve">.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w:t>
      </w:r>
      <w:r>
        <w:t xml:space="preserve"> </w:t>
      </w:r>
      <w:r>
        <w:rPr>
          <w:rStyle w:val="VerbatimChar"/>
        </w:rPr>
        <w:t xml:space="preserve">[[article number + doi; auditor-verified venue (s41598-023-35177-6); complete from the publisher record]]</w:t>
      </w:r>
    </w:p>
    <w:p>
      <w:pPr>
        <w:numPr>
          <w:ilvl w:val="1"/>
          <w:numId w:val="1008"/>
        </w:numPr>
        <w:pStyle w:val="Compact"/>
      </w:pPr>
      <w:r>
        <w:t xml:space="preserve">The prior-art example §2.1.3 cites: Bayesian forecasting with informative priors under</w:t>
      </w:r>
      <w:r>
        <w:t xml:space="preserve"> </w:t>
      </w:r>
      <w:r>
        <w:t xml:space="preserve">sparse local data. COLDSTART's gap is downstream of it; automated construction, propagated</w:t>
      </w:r>
      <w:r>
        <w:t xml:space="preserve"> </w:t>
      </w:r>
      <w:r>
        <w:t xml:space="preserve">extraction/transportability uncertainty, strict historical information sets, harm detection.</w:t>
      </w:r>
    </w:p>
    <w:p>
      <w:pPr>
        <w:numPr>
          <w:ilvl w:val="0"/>
          <w:numId w:val="1007"/>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7"/>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r>
        <w:t xml:space="preserve"> </w:t>
      </w:r>
      <w:r>
        <w:rPr>
          <w:rStyle w:val="VerbatimChar"/>
        </w:rPr>
        <w:t xml:space="preserve">verify volume/pages</w:t>
      </w:r>
    </w:p>
    <w:p>
      <w:pPr>
        <w:numPr>
          <w:ilvl w:val="0"/>
          <w:numId w:val="1007"/>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w:t>
      </w:r>
    </w:p>
    <w:bookmarkEnd w:id="95"/>
    <w:bookmarkStart w:id="96" w:name="automated-extraction"/>
    <w:p>
      <w:pPr>
        <w:pStyle w:val="Heading2"/>
      </w:pPr>
      <w:r>
        <w:t xml:space="preserve">Automated extraction</w:t>
      </w:r>
    </w:p>
    <w:p>
      <w:pPr>
        <w:numPr>
          <w:ilvl w:val="0"/>
          <w:numId w:val="1009"/>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 Biomed Inform</w:t>
      </w:r>
      <w:r>
        <w:t xml:space="preserve"> </w:t>
      </w:r>
      <w:r>
        <w:t xml:space="preserve">2026;181:105086.</w:t>
      </w:r>
      <w:r>
        <w:t xml:space="preserve"> </w:t>
      </w:r>
      <w:r>
        <w:t xml:space="preserve">doi:10.1016/j.jbi.2026.105086</w:t>
      </w:r>
      <w:r>
        <w:t xml:space="preserve"> </w:t>
      </w:r>
      <w:r>
        <w:rPr>
          <w:rStyle w:val="VerbatimChar"/>
        </w:rPr>
        <w:t xml:space="preserve">author list and details auditor-verified 30 Sep; confirm once against the publisher record</w:t>
      </w:r>
    </w:p>
    <w:p>
      <w:pPr>
        <w:numPr>
          <w:ilvl w:val="1"/>
          <w:numId w:val="1010"/>
        </w:numPr>
        <w:pStyle w:val="Compact"/>
      </w:pPr>
      <w:r>
        <w:t xml:space="preserve">Key figures for §1.3: overall accuracy 47–99.9%; numerical items 47–88% vs categorical/string</w:t>
      </w:r>
      <w:r>
        <w:t xml:space="preserve"> </w:t>
      </w:r>
      <w:r>
        <w:t xml:space="preserve">74–96%; omissions 60–74% of errors; hallucination 0.08–6%.</w:t>
      </w:r>
    </w:p>
    <w:p>
      <w:pPr>
        <w:numPr>
          <w:ilvl w:val="0"/>
          <w:numId w:val="1009"/>
        </w:numPr>
        <w:pStyle w:val="Compact"/>
      </w:pPr>
      <w:r>
        <w:rPr>
          <w:bCs/>
          <w:b/>
        </w:rPr>
        <w:t xml:space="preserve">[Orel 2023]</w:t>
      </w:r>
      <w:r>
        <w:t xml:space="preserve"> </w:t>
      </w:r>
      <w:r>
        <w:rPr>
          <w:bCs/>
          <w:b/>
        </w:rPr>
        <w:t xml:space="preserve">Orel E</w:t>
      </w:r>
      <w:r>
        <w:t xml:space="preserv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 Med Internet Res</w:t>
      </w:r>
      <w:r>
        <w:t xml:space="preserve"> </w:t>
      </w:r>
      <w:r>
        <w:t xml:space="preserve">2023;25:e39736.</w:t>
      </w:r>
    </w:p>
    <w:bookmarkEnd w:id="96"/>
    <w:bookmarkStart w:id="97" w:name="transportability"/>
    <w:p>
      <w:pPr>
        <w:pStyle w:val="Heading2"/>
      </w:pPr>
      <w:r>
        <w:t xml:space="preserve">Transportability</w:t>
      </w:r>
    </w:p>
    <w:p>
      <w:pPr>
        <w:numPr>
          <w:ilvl w:val="0"/>
          <w:numId w:val="1011"/>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PNAS</w:t>
      </w:r>
      <w:r>
        <w:t xml:space="preserve"> </w:t>
      </w:r>
      <w:r>
        <w:t xml:space="preserve">2016;113(27):7345–7352.</w:t>
      </w:r>
      <w:r>
        <w:t xml:space="preserve"> </w:t>
      </w:r>
      <w:r>
        <w:rPr>
          <w:rStyle w:val="VerbatimChar"/>
        </w:rPr>
        <w:t xml:space="preserve">also: External validity: from do-calculus to transportability across populations, Statistical Science 2014</w:t>
      </w:r>
    </w:p>
    <w:p>
      <w:pPr>
        <w:numPr>
          <w:ilvl w:val="0"/>
          <w:numId w:val="1011"/>
        </w:numPr>
        <w:pStyle w:val="Compact"/>
      </w:pPr>
      <w:r>
        <w:rPr>
          <w:bCs/>
          <w:b/>
        </w:rPr>
        <w:t xml:space="preserve">[Dahabreh 2019]</w:t>
      </w:r>
      <w:r>
        <w:t xml:space="preserve"> </w:t>
      </w:r>
      <w:r>
        <w:t xml:space="preserve">Dahabreh IJ, Petito LC, Robertson SE, Hernán MA, Steingrimsson JA. Towards</w:t>
      </w:r>
      <w:r>
        <w:t xml:space="preserve"> </w:t>
      </w:r>
      <w:r>
        <w:t xml:space="preserve">causally interpretable meta-analysis: transporting inferences from multiple studies to a target</w:t>
      </w:r>
      <w:r>
        <w:t xml:space="preserve"> </w:t>
      </w:r>
      <w:r>
        <w:t xml:space="preserve">population. arXiv:1903.11455.</w:t>
      </w:r>
      <w:r>
        <w:t xml:space="preserve"> </w:t>
      </w:r>
      <w:r>
        <w:rPr>
          <w:rStyle w:val="VerbatimChar"/>
        </w:rPr>
        <w:t xml:space="preserve">verify final publication venue</w:t>
      </w:r>
    </w:p>
    <w:p>
      <w:pPr>
        <w:numPr>
          <w:ilvl w:val="0"/>
          <w:numId w:val="1011"/>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 arXiv:2102.11904</w:t>
      </w:r>
    </w:p>
    <w:bookmarkEnd w:id="97"/>
    <w:bookmarkStart w:id="98" w:name="Xe9922e1c5762c88228c0c87eec70e80a7dd8e43"/>
    <w:p>
      <w:pPr>
        <w:pStyle w:val="Heading2"/>
      </w:pPr>
      <w:r>
        <w:t xml:space="preserve">Critical slowing down and resilience indicators</w:t>
      </w:r>
    </w:p>
    <w:p>
      <w:pPr>
        <w:numPr>
          <w:ilvl w:val="0"/>
          <w:numId w:val="1012"/>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w:t>
      </w:r>
    </w:p>
    <w:p>
      <w:pPr>
        <w:numPr>
          <w:ilvl w:val="0"/>
          <w:numId w:val="1012"/>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r>
        <w:t xml:space="preserve"> </w:t>
      </w:r>
      <w:r>
        <w:rPr>
          <w:rStyle w:val="VerbatimChar"/>
        </w:rPr>
        <w:t xml:space="preserve">verify pages</w:t>
      </w:r>
    </w:p>
    <w:p>
      <w:pPr>
        <w:numPr>
          <w:ilvl w:val="0"/>
          <w:numId w:val="1012"/>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 Biol</w:t>
      </w:r>
      <w:r>
        <w:t xml:space="preserve"> </w:t>
      </w:r>
      <w:r>
        <w:t xml:space="preserve">2018;14(6):e1006204.</w:t>
      </w:r>
    </w:p>
    <w:p>
      <w:pPr>
        <w:numPr>
          <w:ilvl w:val="0"/>
          <w:numId w:val="1012"/>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 R Soc Interface</w:t>
      </w:r>
      <w:r>
        <w:t xml:space="preserve"> </w:t>
      </w:r>
      <w:r>
        <w:t xml:space="preserve">2021;18(182):20210555.</w:t>
      </w:r>
      <w:r>
        <w:t xml:space="preserve"> </w:t>
      </w:r>
      <w:r>
        <w:rPr>
          <w:bCs/>
          <w:b/>
        </w:rPr>
        <w:t xml:space="preserve">The review to work from</w:t>
      </w:r>
      <w:r>
        <w:t xml:space="preserve">: it catalogues the candidate indicators and their known</w:t>
      </w:r>
      <w:r>
        <w:t xml:space="preserve"> </w:t>
      </w:r>
      <w:r>
        <w:t xml:space="preserve">false-positive behaviour, which T2.4/T2.5 must confront rather than tune away.</w:t>
      </w:r>
    </w:p>
    <w:bookmarkEnd w:id="98"/>
    <w:bookmarkStart w:id="99" w:name="conformal-prediction"/>
    <w:p>
      <w:pPr>
        <w:pStyle w:val="Heading2"/>
      </w:pPr>
      <w:r>
        <w:t xml:space="preserve">Conformal prediction</w:t>
      </w:r>
    </w:p>
    <w:p>
      <w:pPr>
        <w:numPr>
          <w:ilvl w:val="0"/>
          <w:numId w:val="1013"/>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r>
        <w:t xml:space="preserve"> </w:t>
      </w:r>
      <w:r>
        <w:rPr>
          <w:rStyle w:val="VerbatimChar"/>
        </w:rPr>
        <w:t xml:space="preserve">verify volume/pages</w:t>
      </w:r>
    </w:p>
    <w:p>
      <w:pPr>
        <w:numPr>
          <w:ilvl w:val="0"/>
          <w:numId w:val="1013"/>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r>
        <w:t xml:space="preserve"> </w:t>
      </w:r>
      <w:r>
        <w:rPr>
          <w:rStyle w:val="VerbatimChar"/>
        </w:rPr>
        <w:t xml:space="preserve">key fixed (was [Xu 2023]); not cited in the text; cite it in T2.5 or drop the entry; a time-series-specific conformal reference may serve better</w:t>
      </w:r>
    </w:p>
    <w:bookmarkEnd w:id="99"/>
    <w:bookmarkStart w:id="100" w:name="regime-switching-and-extremes"/>
    <w:p>
      <w:pPr>
        <w:pStyle w:val="Heading2"/>
      </w:pPr>
      <w:r>
        <w:t xml:space="preserve">Regime switching and extremes</w:t>
      </w:r>
    </w:p>
    <w:p>
      <w:pPr>
        <w:numPr>
          <w:ilvl w:val="0"/>
          <w:numId w:val="1014"/>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4"/>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w:t>
      </w:r>
    </w:p>
    <w:p>
      <w:pPr>
        <w:numPr>
          <w:ilvl w:val="0"/>
          <w:numId w:val="1014"/>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 R Stat Soc Ser C (Appl Stat)</w:t>
      </w:r>
      <w:r>
        <w:t xml:space="preserve"> </w:t>
      </w:r>
      <w:r>
        <w:t xml:space="preserve">2022. doi:10.1111/rssc.12559.</w:t>
      </w:r>
      <w:r>
        <w:t xml:space="preserve"> </w:t>
      </w:r>
      <w:r>
        <w:rPr>
          <w:bCs/>
          <w:b/>
        </w:rPr>
        <w:t xml:space="preserve">The closest published precedent.</w:t>
      </w:r>
      <w:r>
        <w:t xml:space="preserve"> </w:t>
      </w:r>
      <w:r>
        <w:t xml:space="preserve">Discrete generalised Pareto model for extremes of</w:t>
      </w:r>
      <w:r>
        <w:t xml:space="preserve"> </w:t>
      </w:r>
      <w:r>
        <w:t xml:space="preserve">flu-like hospital visits, three years of daily data from a large Swiss hospital (CHUV).</w:t>
      </w:r>
      <w:r>
        <w:t xml:space="preserve"> </w:t>
      </w:r>
      <w:r>
        <w:t xml:space="preserve">Note the affiliations:</w:t>
      </w:r>
      <w:r>
        <w:t xml:space="preserve"> </w:t>
      </w:r>
      <w:r>
        <w:rPr>
          <w:bCs/>
          <w:b/>
        </w:rPr>
        <w:t xml:space="preserve">Cantoni is at the Research Center for Statistics, University of</w:t>
      </w:r>
      <w:r>
        <w:rPr>
          <w:bCs/>
          <w:b/>
        </w:rPr>
        <w:t xml:space="preserve"> </w:t>
      </w:r>
      <w:r>
        <w:rPr>
          <w:bCs/>
          <w:b/>
        </w:rPr>
        <w:t xml:space="preserve">Geneva</w:t>
      </w:r>
      <w:r>
        <w:t xml:space="preserve"> </w:t>
      </w:r>
      <w:r>
        <w:t xml:space="preserve">(the applicant's DEA supervisor);</w:t>
      </w:r>
      <w:r>
        <w:t xml:space="preserve"> </w:t>
      </w:r>
      <w:r>
        <w:rPr>
          <w:bCs/>
          <w:b/>
        </w:rPr>
        <w:t xml:space="preserve">Chavez-Demoulin is at UNIL</w:t>
      </w:r>
      <w:r>
        <w:t xml:space="preserve">. Relevant as the</w:t>
      </w:r>
      <w:r>
        <w:t xml:space="preserve"> </w:t>
      </w:r>
      <w:r>
        <w:t xml:space="preserve">nearest prior work to §1.4, not as a mobility lead; no research stay is proposed.</w:t>
      </w:r>
    </w:p>
    <w:bookmarkEnd w:id="100"/>
    <w:bookmarkStart w:id="101" w:name="X0ec3fb5f9e64e97afb7ab0198d36250a398821b"/>
    <w:p>
      <w:pPr>
        <w:pStyle w:val="Heading2"/>
      </w:pPr>
      <w:r>
        <w:t xml:space="preserve">Entries added 30 Sep: cited in the text but previously MISSING from this list</w:t>
      </w:r>
    </w:p>
    <w:p>
      <w:pPr>
        <w:pStyle w:val="BlockText"/>
      </w:pPr>
      <w:r>
        <w:t xml:space="preserve">Found by an external audit and verified: [Lazer 2014], [Winters 2018], [Lee 2021],</w:t>
      </w:r>
      <w:r>
        <w:t xml:space="preserve"> </w:t>
      </w:r>
      <w:r>
        <w:t xml:space="preserve">[Höhle 2014] and [McGough 2020] were cited in §2.1/§2.3.2 with no bibliography entry.</w:t>
      </w:r>
      <w:r>
        <w:t xml:space="preserve"> </w:t>
      </w:r>
      <w:r>
        <w:t xml:space="preserve">Author lists below are supplied where I am confident of them and flagged where I am not;</w:t>
      </w:r>
      <w:r>
        <w:t xml:space="preserve"> </w:t>
      </w:r>
      <w:r>
        <w:t xml:space="preserve">verify all five against the publisher record like every other entry.</w:t>
      </w:r>
    </w:p>
    <w:p>
      <w:pPr>
        <w:numPr>
          <w:ilvl w:val="0"/>
          <w:numId w:val="1015"/>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15"/>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r>
        <w:t xml:space="preserve"> </w:t>
      </w:r>
      <w:r>
        <w:rPr>
          <w:rStyle w:val="VerbatimChar"/>
        </w:rPr>
        <w:t xml:space="preserve">verify pages</w:t>
      </w:r>
    </w:p>
    <w:p>
      <w:pPr>
        <w:numPr>
          <w:ilvl w:val="0"/>
          <w:numId w:val="1015"/>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 Biol</w:t>
      </w:r>
      <w:r>
        <w:t xml:space="preserve"> </w:t>
      </w:r>
      <w:r>
        <w:t xml:space="preserve">2020;16(4):e1007735. doi:10.1371/journal.pcbi.1007735</w:t>
      </w:r>
    </w:p>
    <w:p>
      <w:pPr>
        <w:numPr>
          <w:ilvl w:val="0"/>
          <w:numId w:val="1015"/>
        </w:numPr>
        <w:pStyle w:val="Compact"/>
      </w:pPr>
      <w:r>
        <w:rPr>
          <w:bCs/>
          <w:b/>
        </w:rPr>
        <w:t xml:space="preserve">[Winters 2018]</w:t>
      </w:r>
      <w:r>
        <w:t xml:space="preserve"> </w:t>
      </w:r>
      <w:r>
        <w:t xml:space="preserve">Winters BD,</w:t>
      </w:r>
      <w:r>
        <w:t xml:space="preserve"> </w:t>
      </w:r>
      <w:r>
        <w:rPr>
          <w:rStyle w:val="VerbatimChar"/>
        </w:rPr>
        <w:t xml:space="preserve">[[FULL AUTHOR LIST REQUIRED]]</w:t>
      </w:r>
      <w:r>
        <w:t xml:space="preserve">. Technological distractions</w:t>
      </w:r>
      <w:r>
        <w:t xml:space="preserve"> </w:t>
      </w:r>
      <w:r>
        <w:t xml:space="preserve">(part 2): a summary of approaches to manage clinical alarms with intent to reduce alarm</w:t>
      </w:r>
      <w:r>
        <w:t xml:space="preserve"> </w:t>
      </w:r>
      <w:r>
        <w:t xml:space="preserve">fatigue.</w:t>
      </w:r>
      <w:r>
        <w:t xml:space="preserve"> </w:t>
      </w:r>
      <w:r>
        <w:rPr>
          <w:iCs/>
          <w:i/>
        </w:rPr>
        <w:t xml:space="preserve">Crit Care Med</w:t>
      </w:r>
      <w:r>
        <w:t xml:space="preserve"> </w:t>
      </w:r>
      <w:r>
        <w:t xml:space="preserve">2018;46(1):130–137.</w:t>
      </w:r>
      <w:r>
        <w:t xml:space="preserve"> </w:t>
      </w:r>
      <w:r>
        <w:rPr>
          <w:rStyle w:val="VerbatimChar"/>
        </w:rPr>
        <w:t xml:space="preserve">[[verify venue/volume; this entry sources the 72–99% false/non-actionable alarm figure in §2.1.5; confirm the figure appears in the final source]]</w:t>
      </w:r>
    </w:p>
    <w:p>
      <w:pPr>
        <w:numPr>
          <w:ilvl w:val="0"/>
          <w:numId w:val="1015"/>
        </w:numPr>
        <w:pStyle w:val="Compact"/>
      </w:pPr>
      <w:r>
        <w:rPr>
          <w:bCs/>
          <w:b/>
        </w:rPr>
        <w:t xml:space="preserve">[Lee 2021]</w:t>
      </w:r>
      <w:r>
        <w:t xml:space="preserve"> </w:t>
      </w:r>
      <w:r>
        <w:rPr>
          <w:rStyle w:val="VerbatimChar"/>
        </w:rPr>
        <w:t xml:space="preserve">[[FULL REFERENCE REQUIRED; the §2.1.5 claim that heat-warning thresholds calibrated to mortality diverge from morbidity/ED thresholds needs its actual source. If no "Lee 2021" exists in your reading, the auditor suggests Lung, Yeh &amp; Hwang 2021 (PMC8471601) as a candidate that directly discusses mortality- vs morbidity-based heat thresholds; verify and rename the key accordingly]]</w:t>
      </w:r>
    </w:p>
    <w:bookmarkEnd w:id="101"/>
    <w:bookmarkStart w:id="102" w:name="evaluation"/>
    <w:p>
      <w:pPr>
        <w:pStyle w:val="Heading2"/>
      </w:pPr>
      <w:r>
        <w:t xml:space="preserve">Evaluation</w:t>
      </w:r>
    </w:p>
    <w:p>
      <w:pPr>
        <w:numPr>
          <w:ilvl w:val="0"/>
          <w:numId w:val="1016"/>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 Am Stat Assoc</w:t>
      </w:r>
      <w:r>
        <w:t xml:space="preserve"> </w:t>
      </w:r>
      <w:r>
        <w:t xml:space="preserve">2007;102(477):359–378.</w:t>
      </w:r>
    </w:p>
    <w:p>
      <w:pPr>
        <w:numPr>
          <w:ilvl w:val="0"/>
          <w:numId w:val="1016"/>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 Decis Making</w:t>
      </w:r>
      <w:r>
        <w:t xml:space="preserve"> </w:t>
      </w:r>
      <w:r>
        <w:t xml:space="preserve">2006;26(6):565–574.</w:t>
      </w:r>
    </w:p>
    <w:bookmarkEnd w:id="102"/>
    <w:bookmarkStart w:id="103" w:name="own-work-cite-from-the-cv-verify-details"/>
    <w:p>
      <w:pPr>
        <w:pStyle w:val="Heading2"/>
      </w:pPr>
      <w:r>
        <w:t xml:space="preserve">Own work: cite from the CV, verify details</w:t>
      </w:r>
    </w:p>
    <w:p>
      <w:pPr>
        <w:numPr>
          <w:ilvl w:val="0"/>
          <w:numId w:val="1017"/>
        </w:numPr>
      </w:pPr>
      <w:r>
        <w:rPr>
          <w:bCs/>
          <w:b/>
        </w:rPr>
        <w:t xml:space="preserve">Orel E</w:t>
      </w:r>
      <w:r>
        <w:t xml:space="preserve">, Esra R, Estill J, Thiabaud A, Marchand-Maillet S, Merzouki A, Keiser O. Prediction</w:t>
      </w:r>
      <w:r>
        <w:t xml:space="preserve"> </w:t>
      </w:r>
      <w:r>
        <w:t xml:space="preserve">of HIV status based on socio-behavioural characteristics in East and Southern Africa.</w:t>
      </w:r>
      <w:r>
        <w:t xml:space="preserve"> </w:t>
      </w:r>
      <w:r>
        <w:rPr>
          <w:iCs/>
          <w:i/>
        </w:rPr>
        <w:t xml:space="preserve">PLoS ONE</w:t>
      </w:r>
      <w:r>
        <w:t xml:space="preserve"> </w:t>
      </w:r>
      <w:r>
        <w:t xml:space="preserve">2022;17(3):e0264429.</w:t>
      </w:r>
    </w:p>
    <w:p>
      <w:pPr>
        <w:numPr>
          <w:ilvl w:val="0"/>
          <w:numId w:val="1017"/>
        </w:numPr>
      </w:pPr>
      <w:r>
        <w:rPr>
          <w:bCs/>
          <w:b/>
        </w:rPr>
        <w:t xml:space="preserve">Orel E</w:t>
      </w:r>
      <w:r>
        <w:t xml:space="preserve">, Sobel J, Zanella MC, Iten A, Kaiser L, Keiser O, Vetter P. Difference in clinical</w:t>
      </w:r>
      <w:r>
        <w:t xml:space="preserve"> </w:t>
      </w:r>
      <w:r>
        <w:t xml:space="preserve">severity between Delta variant and Omicron sub-lineages in a Swiss tertiary center.</w:t>
      </w:r>
      <w:r>
        <w:t xml:space="preserve"> </w:t>
      </w:r>
      <w:r>
        <w:rPr>
          <w:iCs/>
          <w:i/>
        </w:rPr>
        <w:t xml:space="preserve">CMI Communications</w:t>
      </w:r>
      <w:r>
        <w:t xml:space="preserve"> </w:t>
      </w:r>
      <w:r>
        <w:t xml:space="preserve">2024.</w:t>
      </w:r>
    </w:p>
    <w:p>
      <w:pPr>
        <w:numPr>
          <w:ilvl w:val="0"/>
          <w:numId w:val="1017"/>
        </w:numPr>
      </w:pPr>
      <w:r>
        <w:t xml:space="preserve">Estill J, Venkova-Marchevska P, Roelens M,</w:t>
      </w:r>
      <w:r>
        <w:t xml:space="preserve"> </w:t>
      </w:r>
      <w:r>
        <w:rPr>
          <w:bCs/>
          <w:b/>
        </w:rPr>
        <w:t xml:space="preserve">Orel E</w:t>
      </w:r>
      <w:r>
        <w:t xml:space="preserve">, Temerev A, Flahault A, Keiser O. Future</w:t>
      </w:r>
      <w:r>
        <w:t xml:space="preserve"> </w:t>
      </w:r>
      <w:r>
        <w:t xml:space="preserve">scenarios for the SARS-CoV-2 epidemic in Switzerland: an age-structured model.</w:t>
      </w:r>
      <w:r>
        <w:t xml:space="preserve"> </w:t>
      </w:r>
      <w:r>
        <w:rPr>
          <w:iCs/>
          <w:i/>
        </w:rPr>
        <w:t xml:space="preserve">F1000Research</w:t>
      </w:r>
      <w:r>
        <w:t xml:space="preserve"> </w:t>
      </w:r>
      <w:r>
        <w:t xml:space="preserve">2020;9.</w:t>
      </w:r>
    </w:p>
    <w:p>
      <w:pPr>
        <w:numPr>
          <w:ilvl w:val="0"/>
          <w:numId w:val="1017"/>
        </w:numPr>
      </w:pPr>
      <w:r>
        <w:t xml:space="preserve">Merzouki A, Estill J,</w:t>
      </w:r>
      <w:r>
        <w:t xml:space="preserve"> </w:t>
      </w:r>
      <w:r>
        <w:rPr>
          <w:bCs/>
          <w:b/>
        </w:rPr>
        <w:t xml:space="preserve">Orel E</w:t>
      </w:r>
      <w:r>
        <w:t xml:space="preserve">, Tal K, Keiser O. Clusters of sub-Saharan African countries</w:t>
      </w:r>
      <w:r>
        <w:t xml:space="preserve"> </w:t>
      </w:r>
      <w:r>
        <w:t xml:space="preserve">based on sociobehavioural characteristics and associated HIV incidence.</w:t>
      </w:r>
      <w:r>
        <w:t xml:space="preserve"> </w:t>
      </w:r>
      <w:r>
        <w:rPr>
          <w:iCs/>
          <w:i/>
        </w:rPr>
        <w:t xml:space="preserve">PeerJ</w:t>
      </w:r>
      <w:r>
        <w:t xml:space="preserve"> </w:t>
      </w:r>
      <w:r>
        <w:t xml:space="preserve">2021;9:e10660.</w:t>
      </w:r>
    </w:p>
    <w:p>
      <w:pPr>
        <w:numPr>
          <w:ilvl w:val="0"/>
          <w:numId w:val="1017"/>
        </w:numPr>
      </w:pPr>
      <w:r>
        <w:t xml:space="preserve">Esra R, Carstens J, Le Roux S, Mabuto T, Eisenstein M, Keiser O,</w:t>
      </w:r>
      <w:r>
        <w:t xml:space="preserve"> </w:t>
      </w:r>
      <w:r>
        <w:rPr>
          <w:bCs/>
          <w:b/>
        </w:rPr>
        <w:t xml:space="preserve">Orel E</w:t>
      </w:r>
      <w:r>
        <w:t xml:space="preserve">, Merzouki A,</w:t>
      </w:r>
      <w:r>
        <w:t xml:space="preserve"> </w:t>
      </w:r>
      <w:r>
        <w:t xml:space="preserve">De Voux L, Maskew M, Sharpey-Schafer K. Validation and improvement of a machine learning model</w:t>
      </w:r>
      <w:r>
        <w:t xml:space="preserve"> </w:t>
      </w:r>
      <w:r>
        <w:t xml:space="preserve">to predict interruptions in antiretroviral treatment in South Africa.</w:t>
      </w:r>
      <w:r>
        <w:t xml:space="preserve"> </w:t>
      </w:r>
      <w:r>
        <w:rPr>
          <w:iCs/>
          <w:i/>
        </w:rPr>
        <w:t xml:space="preserve">J Acquir Immune Defic Syndr</w:t>
      </w:r>
      <w:r>
        <w:t xml:space="preserve"> </w:t>
      </w:r>
      <w:r>
        <w:t xml:space="preserve">2023;92(1):42–49.</w:t>
      </w:r>
    </w:p>
    <w:p>
      <w:pPr>
        <w:numPr>
          <w:ilvl w:val="0"/>
          <w:numId w:val="1017"/>
        </w:numPr>
      </w:pPr>
      <w:r>
        <w:t xml:space="preserve">Nwosu K, Fokam J, Wanda F,</w:t>
      </w:r>
      <w:r>
        <w:t xml:space="preserve"> </w:t>
      </w:r>
      <w:r>
        <w:rPr>
          <w:rStyle w:val="VerbatimChar"/>
        </w:rPr>
        <w:t xml:space="preserve">[[FULL AUTHOR LIST REQUIRED; no "et al." permitted]]</w:t>
      </w:r>
      <w:r>
        <w:t xml:space="preserve"> </w:t>
      </w:r>
      <w:r>
        <w:t xml:space="preserve">(incl.</w:t>
      </w:r>
      <w:r>
        <w:t xml:space="preserve"> </w:t>
      </w:r>
      <w:r>
        <w:rPr>
          <w:bCs/>
          <w:b/>
        </w:rPr>
        <w:t xml:space="preserve">Orel E</w:t>
      </w:r>
      <w:r>
        <w:t xml:space="preserve">). SARS-CoV-2 antibody seroprevalence and associated risk factors in an urban</w:t>
      </w:r>
      <w:r>
        <w:t xml:space="preserve"> </w:t>
      </w:r>
      <w:r>
        <w:t xml:space="preserve">district in Cameroon.</w:t>
      </w:r>
      <w:r>
        <w:t xml:space="preserve"> </w:t>
      </w:r>
      <w:r>
        <w:rPr>
          <w:iCs/>
          <w:i/>
        </w:rPr>
        <w:t xml:space="preserve">Nat Commun</w:t>
      </w:r>
      <w:r>
        <w:t xml:space="preserve"> </w:t>
      </w:r>
      <w:r>
        <w:t xml:space="preserve">2021;12:5851.</w:t>
      </w:r>
    </w:p>
    <w:p>
      <w:pPr>
        <w:numPr>
          <w:ilvl w:val="0"/>
          <w:numId w:val="1017"/>
        </w:numPr>
      </w:pPr>
      <w:r>
        <w:t xml:space="preserve">Ng'ambi W, Estill J, Keiser O, Merzouki FA,</w:t>
      </w:r>
      <w:r>
        <w:t xml:space="preserve"> </w:t>
      </w:r>
      <w:r>
        <w:rPr>
          <w:bCs/>
          <w:b/>
        </w:rPr>
        <w:t xml:space="preserve">Orel E</w:t>
      </w:r>
      <w:r>
        <w:t xml:space="preserve"> </w:t>
      </w:r>
      <w:r>
        <w:t xml:space="preserve">(senior author). Machine learning-based</w:t>
      </w:r>
      <w:r>
        <w:t xml:space="preserve"> </w:t>
      </w:r>
      <w:r>
        <w:t xml:space="preserve">classification of self-reported cardiovascular disease history in Africa using harmonised</w:t>
      </w:r>
      <w:r>
        <w:t xml:space="preserve"> </w:t>
      </w:r>
      <w:r>
        <w:t xml:space="preserve">multi-country WHO STEPS surveys: 2014–2019.</w:t>
      </w:r>
      <w:r>
        <w:t xml:space="preserve"> </w:t>
      </w:r>
      <w:r>
        <w:rPr>
          <w:bCs/>
          <w:b/>
        </w:rPr>
        <w:t xml:space="preserve">Accepted for publication.</w:t>
      </w:r>
      <w:r>
        <w:t xml:space="preserve"> </w:t>
      </w:r>
      <w:r>
        <w:rPr>
          <w:rStyle w:val="VerbatimChar"/>
        </w:rPr>
        <w:t xml:space="preserve">[[Venue, year, DOI once assigned; update on publication]]</w:t>
      </w:r>
    </w:p>
    <w:p>
      <w:pPr>
        <w:numPr>
          <w:ilvl w:val="0"/>
          <w:numId w:val="1017"/>
        </w:numPr>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 Switzerland.</w:t>
      </w:r>
      <w:r>
        <w:t xml:space="preserve"> </w:t>
      </w:r>
      <w:r>
        <w:rPr>
          <w:iCs/>
          <w:i/>
        </w:rPr>
        <w:t xml:space="preserve">Int J Public Health</w:t>
      </w:r>
      <w:r>
        <w:t xml:space="preserve"> </w:t>
      </w:r>
      <w:r>
        <w:t xml:space="preserve">2024;69:1607349. doi:10.3389/ijph.2024.1607349</w:t>
      </w:r>
    </w:p>
    <w:p>
      <w:pPr>
        <w:numPr>
          <w:ilvl w:val="1"/>
          <w:numId w:val="1018"/>
        </w:numPr>
        <w:pStyle w:val="Compact"/>
      </w:pPr>
      <w:r>
        <w:t xml:space="preserve">Swiss heat–ED evidence: weak/non-significant for respiratory causes overall; significant in</w:t>
      </w:r>
      <w:r>
        <w:t xml:space="preserve"> </w:t>
      </w:r>
      <w:r>
        <w:t xml:space="preserve">the 75–84 subgroup. Grounds the §2.3.1 heat-arm caveat.</w:t>
      </w:r>
      <w:r>
        <w:t xml:space="preserve"> </w:t>
      </w:r>
      <w:r>
        <w:rPr>
          <w:iCs/>
          <w:i/>
        </w:rPr>
        <w:t xml:space="preserve">Sourced from the GESICA v5 inventory's</w:t>
      </w:r>
      <w:r>
        <w:rPr>
          <w:iCs/>
          <w:i/>
        </w:rPr>
        <w:t xml:space="preserve"> </w:t>
      </w:r>
      <w:r>
        <w:rPr>
          <w:iCs/>
          <w:i/>
        </w:rPr>
        <w:t xml:space="preserve">reference list (ref 41); verify against the publisher record like every other entry.</w:t>
      </w:r>
    </w:p>
    <w:p>
      <w:pPr>
        <w:numPr>
          <w:ilvl w:val="0"/>
          <w:numId w:val="1017"/>
        </w:numPr>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 Health</w:t>
      </w:r>
      <w:r>
        <w:t xml:space="preserve"> </w:t>
      </w:r>
      <w:r>
        <w:t xml:space="preserve">2019;18:66.</w:t>
      </w:r>
      <w:r>
        <w:t xml:space="preserve"> </w:t>
      </w:r>
      <w:r>
        <w:t xml:space="preserve">doi:10.1186/s12940-019-0507-1</w:t>
      </w:r>
      <w:r>
        <w:t xml:space="preserve"> </w:t>
      </w:r>
      <w:r>
        <w:rPr>
          <w:iCs/>
          <w:i/>
        </w:rPr>
        <w:t xml:space="preserve">(GESICA v5 ref 42)</w:t>
      </w:r>
    </w:p>
    <w:p>
      <w:pPr>
        <w:numPr>
          <w:ilvl w:val="0"/>
          <w:numId w:val="1017"/>
        </w:numPr>
      </w:pPr>
      <w:r>
        <w:rPr>
          <w:bCs/>
          <w:b/>
        </w:rPr>
        <w:t xml:space="preserve">[Zheng 2015]</w:t>
      </w:r>
      <w:r>
        <w:t xml:space="preserve"> </w:t>
      </w:r>
      <w:r>
        <w:t xml:space="preserve">Zheng XY, Ding H, Jiang LN, et al.</w:t>
      </w:r>
      <w:r>
        <w:t xml:space="preserve"> </w:t>
      </w:r>
      <w:r>
        <w:rPr>
          <w:rStyle w:val="VerbatimChar"/>
        </w:rPr>
        <w:t xml:space="preserve">[[consortium size &lt; 50; full author list required]]</w:t>
      </w:r>
      <w:r>
        <w:t xml:space="preserve"> </w:t>
      </w:r>
      <w:r>
        <w:t xml:space="preserve">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r>
        <w:t xml:space="preserve"> </w:t>
      </w:r>
      <w:r>
        <w:rPr>
          <w:iCs/>
          <w:i/>
        </w:rPr>
        <w:t xml:space="preserve">(GESICA v5 ref 44; pollution →</w:t>
      </w:r>
      <w:r>
        <w:rPr>
          <w:iCs/>
          <w:i/>
        </w:rPr>
        <w:t xml:space="preserve"> </w:t>
      </w:r>
      <w:r>
        <w:rPr>
          <w:iCs/>
          <w:i/>
        </w:rPr>
        <w:t xml:space="preserve">asthma ED, international; the v5 report notes no recent Swiss study of acute episodes; a</w:t>
      </w:r>
      <w:r>
        <w:rPr>
          <w:iCs/>
          <w:i/>
        </w:rPr>
        <w:t xml:space="preserve"> </w:t>
      </w:r>
      <w:r>
        <w:rPr>
          <w:iCs/>
          <w:i/>
        </w:rPr>
        <w:t xml:space="preserve">contribution space for this project)</w:t>
      </w:r>
    </w:p>
    <w:bookmarkEnd w:id="103"/>
    <w:bookmarkStart w:id="104" w:name="X9661b2902fee99a6f0140bff01d54709f5364d8"/>
    <w:p>
      <w:pPr>
        <w:pStyle w:val="Heading2"/>
      </w:pPr>
      <w:r>
        <w:t xml:space="preserve">Still to source: supply from your own reading</w:t>
      </w:r>
    </w:p>
    <w:p>
      <w:pPr>
        <w:numPr>
          <w:ilvl w:val="0"/>
          <w:numId w:val="1019"/>
        </w:numPr>
        <w:pStyle w:val="Compact"/>
      </w:pPr>
      <w:r>
        <w:rPr>
          <w:strike/>
        </w:rPr>
        <w:t xml:space="preserve">Heat and emergency department presentations / EMS demand in Switzerland</w:t>
      </w:r>
      <w:r>
        <w:t xml:space="preserve"> </w:t>
      </w:r>
      <w:r>
        <w:rPr>
          <w:bCs/>
          <w:b/>
        </w:rPr>
        <w:t xml:space="preserve">Closed</w:t>
      </w:r>
      <w:r>
        <w:t xml:space="preserve">: Schulte</w:t>
      </w:r>
      <w:r>
        <w:t xml:space="preserve"> </w:t>
      </w:r>
      <w:r>
        <w:t xml:space="preserve">2024 and Ragettli 2019 above, from the applicant's own referenced inventory</w:t>
      </w:r>
    </w:p>
    <w:p>
      <w:pPr>
        <w:numPr>
          <w:ilvl w:val="0"/>
          <w:numId w:val="1019"/>
        </w:numPr>
        <w:pStyle w:val="Compact"/>
      </w:pPr>
      <w:r>
        <w:t xml:space="preserve">Out-of-hospital cardiac arrest and temperature (your platform's scenario documentation cites</w:t>
      </w:r>
      <w:r>
        <w:t xml:space="preserve"> </w:t>
      </w:r>
      <w:r>
        <w:t xml:space="preserve">work here; verify each citation before reuse)</w:t>
      </w:r>
    </w:p>
    <w:p>
      <w:pPr>
        <w:numPr>
          <w:ilvl w:val="0"/>
          <w:numId w:val="1019"/>
        </w:numPr>
        <w:pStyle w:val="Compact"/>
      </w:pPr>
      <w:r>
        <w:t xml:space="preserve">ICU surge capacity modelling</w:t>
      </w:r>
    </w:p>
    <w:p>
      <w:pPr>
        <w:numPr>
          <w:ilvl w:val="0"/>
          <w:numId w:val="1019"/>
        </w:numPr>
        <w:pStyle w:val="Compact"/>
      </w:pPr>
      <w:r>
        <w:t xml:space="preserve">Legionellosis epidemiology and building water systems (SwissLEGIO; the CCER protocol</w:t>
      </w:r>
      <w:r>
        <w:t xml:space="preserve"> </w:t>
      </w:r>
      <w:r>
        <w:t xml:space="preserve">bibliography is a starting point and is already checked)</w:t>
      </w:r>
    </w:p>
    <w:p>
      <w:pPr>
        <w:numPr>
          <w:ilvl w:val="0"/>
          <w:numId w:val="1019"/>
        </w:numPr>
        <w:pStyle w:val="Compact"/>
      </w:pPr>
      <w:r>
        <w:t xml:space="preserve">Swiss surveillance infrastructure and cantonal escalation procedures</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svgz" /><Relationship Type="http://schemas.openxmlformats.org/officeDocument/2006/relationships/image" Id="rId81" Target="media/rId81.svgz" /><Relationship Type="http://schemas.openxmlformats.org/officeDocument/2006/relationships/image" Id="rId39" Target="media/rId39.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2026-09-30T14:08:34Z</dcterms:created>
  <dcterms:modified xsi:type="dcterms:W3CDTF">2026-09-30T14:08:34Z</dcterms:modified>
</cp:coreProperties>
</file>

<file path=docProps/custom.xml><?xml version="1.0" encoding="utf-8"?>
<Properties xmlns="http://schemas.openxmlformats.org/officeDocument/2006/custom-properties" xmlns:vt="http://schemas.openxmlformats.org/officeDocument/2006/docPropsVTypes"/>
</file>