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My background combines fifteen years in quantitative finance, where I worked on rare-event risk, regime changes and stress testing, with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background combines fifteen years in quantitative finance, where I worked on risk, extreme values, regime models and stress testing, with a doctorate in biomedical sciences at Geneva (defended 18 December 2023). This combination provides the methods for modelling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provides direct experience with the question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quantitative-finance work provides experience in Bayesian hierarchical modelling, regime changes, extreme values and stress testing under misspecification. LiteRev-Evidence provides the extraction and pooling methods.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of the evidence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of the two strategies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the local level and trend, and the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examined.</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rather than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linked legionellosis study, UNIGE HPC and the University's secure clinical-data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t xml:space="preserve">When published evidence improves forecasts, and when it misleads</w:t>
            </w:r>
          </w:p>
        </w:tc>
        <w:tc>
          <w:tcPr/>
          <w:p>
            <w:pPr>
              <w:pStyle w:val="Compact"/>
              <w:jc w:val="left"/>
            </w:pPr>
            <w:r>
              <w:rPr>
                <w:bCs/>
                <w:b/>
              </w:rP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and GeoAI4EI.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w:t>
      </w:r>
    </w:p>
    <w:p>
      <w:pPr>
        <w:pStyle w:val="BodyText"/>
      </w:pPr>
      <w:r>
        <w:t xml:space="preserve">Where this leads. By month 48, a validated answer and a first-author record,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40" w:line="360" w:lineRule="auto"/>
      <w:jc w:val="both"/>
    </w:pPr>
    <w:rPr>
      <w:sz w:val="20"/>
      <w:szCs w:val="20"/>
    </w:rPr>
  </w:style>
  <w:style w:styleId="BodyText" w:type="paragraph">
    <w:name w:val="Body Text"/>
    <w:basedOn w:val="Normal"/>
    <w:link w:val="BodyTextChar"/>
    <w:pPr>
      <w:spacing w:before="0" w:after="4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40" w:line="360" w:lineRule="auto"/>
      <w:jc w:val="both"/>
    </w:pPr>
  </w:style>
  <w:style w:customStyle="1" w:styleId="Compact" w:type="paragraph">
    <w:name w:val="Compact"/>
    <w:basedOn w:val="BodyText"/>
    <w:qFormat/>
    <w:pPr>
      <w:spacing w:before="0" w:after="2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2026-10-14T14:27:26Z</dcterms:created>
  <dcterms:modified xsi:type="dcterms:W3CDTF">2026-10-14T14:27:26Z</dcterms:modified>
</cp:coreProperties>
</file>

<file path=docProps/custom.xml><?xml version="1.0" encoding="utf-8"?>
<Properties xmlns="http://schemas.openxmlformats.org/officeDocument/2006/custom-properties" xmlns:vt="http://schemas.openxmlformats.org/officeDocument/2006/docPropsVTypes"/>
</file>