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If published evidence improves forecasts, the project shows when and by how much. If it brings nothing or causes harm, the result says where it should not be used. For the crisis types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in a real forecasting setting to make up for missing outcome data.</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an explicit measurement-error model can correct the distributions.</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and their effect on forecasts at the start of a crisis has not been measured.</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under misspecification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systematic review of AI in emergency medical services [7], of which I am a co-author,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models of several families with time-series validation, and builds compartmental model parts from published parameter ranges. Evidence updates are reviewed before they are applied. All of this exists as a prototype only. None of it has been verified, measured or validated yet. In particular, the historical model-selection pipeline still has to show that it uses only information available at each forecast date. That validation is the work of this grant.</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 under the registered comparison.</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 The dataset covers ten years of confirmed cases. Because cases are few, incidence is aggregated to monthly or, where counts allow, weekly series, and the forecast horizon is set accordingly at registration.</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4086153"/>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4086153"/>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the corrected distributions match the manual ones.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nothing from the literature. How long this advantage lasts as outcomes come in is a secondary question.</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in a way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[39, 40]. (3) Legionellosis is the third test, in year four, on the linked case-environment data, and forecasts case incidence rather than demand. No fourth domain is planned. The three crisis types are fixed. Within each, the outcome measure, the population and, for respiratory epidemics, the pathogen are not fixed in this plan. They depend on what the published evidence defines and on the local service data available, for example emergency calls filtered on the recorded symptoms, emergency-department visits, hospital admissions, bed or ICU occupancy, or case counts.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d4e09ba18080d97b74eb2b86ca99368d3605118"/>
    <w:p>
      <w:pPr>
        <w:pStyle w:val="Heading5"/>
      </w:pPr>
      <w:r>
        <w:t xml:space="preserve">T1.1. Fix what to look for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t12-build-the-manual-benchmark-m3m9"/>
    <w:p>
      <w:pPr>
        <w:pStyle w:val="Heading5"/>
      </w:pPr>
      <w:r>
        <w:t xml:space="preserve">T1.2. Build the manual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The manual benchmark covers the parameters that the main models actually use, not every number reported in each field, and the secondary parameter classes enter only if the main models need them.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79c42a8564cc493c93ab39009f406ee2f4a6406"/>
    <w:p>
      <w:pPr>
        <w:pStyle w:val="Heading5"/>
      </w:pPr>
      <w:r>
        <w:t xml:space="preserve">T1.3. Measure the errors of automated extraction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060d7a2d5080bfbab7ed226a68ce4015fb4bcf8"/>
    <w:p>
      <w:pPr>
        <w:pStyle w:val="Heading5"/>
      </w:pPr>
      <w:r>
        <w:t xml:space="preserve">T1.4. Turn the numbers into distributions with their uncertainty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Xfb0c313f685b1fb1cb18cb274225f7dbb8d3b55"/>
    <w:p>
      <w:pPr>
        <w:pStyle w:val="Heading5"/>
      </w:pPr>
      <w:r>
        <w:t xml:space="preserve">T1.5. Check how well each finding transfers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manual extraction time is limited, the benchmark narrows to the core kinds of parameters.</w:t>
      </w:r>
    </w:p>
    <w:bookmarkEnd w:id="47"/>
    <w:bookmarkEnd w:id="48"/>
    <w:bookmarkStart w:id="54" w:name="X30f685b947833bb06018236e55015b9cbc1e3a1"/>
    <w:p>
      <w:pPr>
        <w:pStyle w:val="Heading4"/>
      </w:pPr>
      <w:r>
        <w:t xml:space="preserve">WP2. Model the levels of pressure on the system (M1–M28)</w:t>
      </w:r>
    </w:p>
    <w:bookmarkStart w:id="49" w:name="Xcf803f1a5f8b5245cb00eec4b6ac44698627a2f"/>
    <w:p>
      <w:pPr>
        <w:pStyle w:val="Heading5"/>
      </w:pPr>
      <w:r>
        <w:t xml:space="preserve">T2.1. Build and test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model-the-rare-peaks-of-demand-m6m14"/>
    <w:p>
      <w:pPr>
        <w:pStyle w:val="Heading5"/>
      </w:pPr>
      <w:r>
        <w:t xml:space="preserve">T2.2. Model the rare peaks of demand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This work supports the main comparison and does not carry a hypothesis of its own.</w:t>
      </w:r>
    </w:p>
    <w:bookmarkEnd w:id="50"/>
    <w:bookmarkStart w:id="51" w:name="X7c95f1d60e61ad73e333e61a06116a5f40da4e5"/>
    <w:p>
      <w:pPr>
        <w:pStyle w:val="Heading5"/>
      </w:pPr>
      <w:r>
        <w:t xml:space="preserve">T2.3. Bring the published evidence into the model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25bfe31d90f5b85d1f2731ebea55fe6bd2d6f42"/>
    <w:p>
      <w:pPr>
        <w:pStyle w:val="Heading5"/>
      </w:pPr>
      <w:r>
        <w:t xml:space="preserve">T2.4. Test two early-warning signals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c544ba7a5f1295d2acfaf65482c82ae7a03b766"/>
    <w:p>
      <w:pPr>
        <w:pStyle w:val="Heading5"/>
      </w:pPr>
      <w:r>
        <w:t xml:space="preserve">T2.5. Calibrate, automate and check validity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b3d8caca1651fb581662512ee4e825400c6f9ec"/>
    <w:p>
      <w:pPr>
        <w:pStyle w:val="Heading4"/>
      </w:pPr>
      <w:r>
        <w:t xml:space="preserve">WP3. Replay past crises and test the forecasts (M1–M42)</w:t>
      </w:r>
    </w:p>
    <w:bookmarkStart w:id="55" w:name="X5d39d19f7d3090f730d356c08f18c4261ebcb8a"/>
    <w:p>
      <w:pPr>
        <w:pStyle w:val="Heading5"/>
      </w:pPr>
      <w:r>
        <w:t xml:space="preserve">T3.0. Choose the outcome, check the data, register the rules (M1–M14)</w:t>
      </w:r>
    </w:p>
    <w:p>
      <w:pPr>
        <w:pStyle w:val="FirstParagraph"/>
      </w:pPr>
      <w:r>
        <w:t xml:space="preserve">Outcomes. The outcome of each test is not fixed in advance. It depends on what the published evidence defines and on the data available, for example emergency calls (CASU-144) filtered on the symptoms and urgency recorded for each call (audio recordings are not used), emergency-department visits by cause, hospital admissions, bed or ICU occupancy. The candidates are listed at registration in order of preference. The target is chosen on access, completeness, cause coding, reporting delay and revisions, time resolution and usefulness for the services, before any forecast is compared. The causes and population groups used to filter it come from the evidence. Once chosen, the target stays fixed, so that no outcome can be picked afterwards because it gives better results, and both strategies are scored on the same target, period and rules. The other candidates serve as extra inputs for the pressure model. Weather, air quality, wastewater, sentinel consultations and calendar effects are context inputs. The design is single-canton on purpose, and transfer is tested across the three crisis types.</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Respiratory viruses circulating at the same time count as one episode.</w:t>
      </w:r>
    </w:p>
    <w:p>
      <w:pPr>
        <w:pStyle w:val="BodyText"/>
      </w:pPr>
      <w:r>
        <w:t xml:space="preserve">Registration. The outcome list, the gate and the eligibility rules are registered first. After the month-12 check and a blinded inventory of the eligible episodes, but before any performance is seen, a second registration fixes the early-episode window N, the main forecast horizon per crisis type and the margin Δ. Horizons follow what the services need, not results.</w:t>
      </w:r>
    </w:p>
    <w:p>
      <w:pPr>
        <w:pStyle w:val="BodyText"/>
      </w:pPr>
      <w:r>
        <w:t xml:space="preserve">Data hierarchy. The main test uses local service data, chosen from the registered list. If a series is not available in time or fails the gate, the next one in the list takes its place. If no local series can be obtained, the pipeline is run on open Swiss series (federal respiratory surveillance, national wastewater data, weekly deaths and MeteoSwiss weather), with archived multi-model forecasts as comparators [3, 4], to show that the methods work and to release a public benchmark, and the claim is narrowed to that. The HUG COVID-19 hospitalisation series I analysed before [35] can serve as an additional check if it can be obtained again.</w:t>
      </w:r>
    </w:p>
    <w:bookmarkEnd w:id="55"/>
    <w:bookmarkStart w:id="56" w:name="t31-assemble-the-data-m12m20"/>
    <w:p>
      <w:pPr>
        <w:pStyle w:val="Heading5"/>
      </w:pPr>
      <w:r>
        <w:t xml:space="preserve">T3.1. Assemble the data (M12–M20)</w:t>
      </w:r>
    </w:p>
    <w:p>
      <w:pPr>
        <w:pStyle w:val="FirstParagraph"/>
      </w:pPr>
      <w:r>
        <w:t xml:space="preserve">The outcome series are lined up with the context feeds and with each other on a daily grid. Missing values and reporting delays are measured, and recent days that are still incomplete are corrected with nowcasting [43, 44], because reporting tends to slow down under pressure and can look like an early warning. The HUG COVID-19 hospitalisation data I analysed before [35] may be requested again as an extra check. Pharmacy sales and wastewater measurements are requested through the cantonal pharmacist and used as early indicators where access and coverage allow.</w:t>
      </w:r>
    </w:p>
    <w:bookmarkEnd w:id="56"/>
    <w:bookmarkStart w:id="57" w:name="X3c5d3f38d70b59f19c1d0948ac89de4b434a288"/>
    <w:p>
      <w:pPr>
        <w:pStyle w:val="Heading5"/>
      </w:pPr>
      <w:r>
        <w:t xml:space="preserve">T3.2. Replay with only what was known at the time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f8689ad9c5d188d95e0d730763dabb322203d29"/>
    <w:p>
      <w:pPr>
        <w:pStyle w:val="Heading5"/>
      </w:pPr>
      <w:r>
        <w:t xml:space="preserve">T3.3. Build the model library and run the tests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nothing taken from the literature.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is the unit of analysis. The number of eligible episodes is established with the registered eligibility rules before any forecast performance is examined, and it is expected to be small. A paired permutation test and a bootstrap over whole episodes are both registered. Simulations run before the second registration set the type-I error, the power, the smallest number of episodes for a confirmatory claim and the window N, without using any forecast result.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the right-evidence case is a simulation, registered in advance, in which the evidence given to the model and the process that produces the outcomes agree within a set tolerance. The score compares adaptive weighting with fixed weighting, and positive values mean adaptive is better. Adaptive weighting passes if the score stays above minus Δ when the evidence is right, and is positive when the evidence has been shifted on purpose.</w:t>
      </w:r>
    </w:p>
    <w:bookmarkEnd w:id="58"/>
    <w:bookmarkStart w:id="59" w:name="X321021fb0ce7a271997d080aa60af1866532612"/>
    <w:p>
      <w:pPr>
        <w:pStyle w:val="Heading5"/>
      </w:pPr>
      <w:r>
        <w:t xml:space="preserve">T3.4. Map when the evidence helps and when it harms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heat-and-legionellosis-tests-m34m42"/>
    <w:p>
      <w:pPr>
        <w:pStyle w:val="Heading5"/>
      </w:pPr>
      <w:r>
        <w:t xml:space="preserve">T3.5. Heat and legionellosis tests (M34–M42)</w:t>
      </w:r>
    </w:p>
    <w:p>
      <w:pPr>
        <w:pStyle w:val="FirstParagraph"/>
      </w:pPr>
      <w:r>
        <w:t xml:space="preserve">The heat test is the second test. The legionellosis test, in year four, applies the same comparison to case-incidence forecasts at the start of an outbreak, using the linked case-environment data, outside the confirmatory family of the two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If no local series can be obtained, open Swiss data show that the methods work, but they cannot carry the main claim, which is then narrowed, and the decision analysis is limited accordingly.</w:t>
      </w:r>
    </w:p>
    <w:bookmarkEnd w:id="60"/>
    <w:bookmarkEnd w:id="61"/>
    <w:bookmarkStart w:id="65" w:name="X8aa826d782b5e8f6cc38fd442bbb89d90845718"/>
    <w:p>
      <w:pPr>
        <w:pStyle w:val="Heading4"/>
      </w:pPr>
      <w:r>
        <w:t xml:space="preserve">WP4. From forecast skill to decision value (M24–M48)</w:t>
      </w:r>
    </w:p>
    <w:bookmarkStart w:id="62" w:name="X5ca009a387911c6ea58ecd45a8eb558bd90bfed"/>
    <w:p>
      <w:pPr>
        <w:pStyle w:val="Heading5"/>
      </w:pPr>
      <w:r>
        <w:t xml:space="preserve">T4.1. Elicit costs and thresholds with the services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9afe369954fadd3f59f2f0b48fc173c8f224d76"/>
    <w:p>
      <w:pPr>
        <w:pStyle w:val="Heading5"/>
      </w:pPr>
      <w:r>
        <w:t xml:space="preserve">T4.2. Judge the forecasts by the decisions they trigger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groups by age and sex. A model that is well calibrated overall but poor for a group that matters for decisions does not pass.</w:t>
      </w:r>
    </w:p>
    <w:bookmarkEnd w:id="63"/>
    <w:bookmarkStart w:id="64" w:name="t43-dashboard-and-living-updates-m34m48"/>
    <w:p>
      <w:pPr>
        <w:pStyle w:val="Heading5"/>
      </w:pPr>
      <w:r>
        <w:t xml:space="preserve">T4.3. Dashboard and living updates (M34–M48)</w:t>
      </w:r>
    </w:p>
    <w:p>
      <w:pPr>
        <w:pStyle w:val="FirstParagraph"/>
      </w:pPr>
      <w:r>
        <w:t xml:space="preserve">Where a strategy passes the forecast and decision checks and the services authorise it, the project runs a daily dashboard in observation mode for that crisis type.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library of evidence-derived inputs, the decision-analysis framework and a public forecasting benchmark where open data are used),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2468"/>
        <w:gridCol w:w="2984"/>
        <w:gridCol w:w="2623"/>
        <w:gridCol w:w="2471"/>
      </w:tblGrid>
      <w:tr>
        <w:trPr>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c>
          <w:tcPr/>
          <w:p>
            <w:pPr>
              <w:pStyle w:val="Compact"/>
              <w:jc w:val="left"/>
            </w:pPr>
            <w:r>
              <w:t xml:space="preserve">Legionellosis study (data via the médecin cantonal and SIG)</w:t>
            </w:r>
          </w:p>
        </w:tc>
        <w:tc>
          <w:tcPr/>
          <w:p>
            <w:pPr>
              <w:pStyle w:val="Compact"/>
              <w:jc w:val="left"/>
            </w:pPr>
            <w:r>
              <w:t xml:space="preserve">Prof. Olivia Keiser, study PI</w:t>
            </w:r>
          </w:p>
        </w:tc>
        <w:tc>
          <w:tcPr/>
          <w:p>
            <w:pPr>
              <w:pStyle w:val="Compact"/>
              <w:jc w:val="left"/>
            </w:pPr>
            <w:r>
              <w:t xml:space="preserve">Linked case-environment data, analysis by the applicant</w:t>
            </w:r>
          </w:p>
        </w:tc>
        <w:tc>
          <w:tcPr/>
          <w:p>
            <w:pPr>
              <w:pStyle w:val="Compact"/>
              <w:jc w:val="left"/>
            </w:pPr>
            <w:r>
              <w:t xml:space="preserve">Study approved, BASEC 2026-00324</w:t>
            </w:r>
          </w:p>
        </w:tc>
      </w:tr>
      <w:tr>
        <w:tc>
          <w:tcPr/>
          <w:p>
            <w:pPr>
              <w:pStyle w:val="Compact"/>
              <w:jc w:val="left"/>
            </w:pPr>
            <w:r>
              <w:t xml:space="preserve">HUG COVID-19 hospitalisation series</w:t>
            </w:r>
          </w:p>
        </w:tc>
        <w:tc>
          <w:tcPr/>
          <w:p>
            <w:pPr>
              <w:pStyle w:val="Compact"/>
            </w:pPr>
          </w:p>
        </w:tc>
        <w:tc>
          <w:tcPr/>
          <w:p>
            <w:pPr>
              <w:pStyle w:val="Compact"/>
              <w:jc w:val="left"/>
            </w:pPr>
            <w:r>
              <w:t xml:space="preserve">Secondary validation and calibration series [35]</w:t>
            </w:r>
          </w:p>
        </w:tc>
        <w:tc>
          <w:tcPr/>
          <w:p>
            <w:pPr>
              <w:pStyle w:val="Compact"/>
              <w:jc w:val="left"/>
            </w:pPr>
            <w:r>
              <w:t xml:space="preserve">Re-request planned, subject to availability</w:t>
            </w:r>
          </w:p>
        </w:tc>
      </w:tr>
      <w:t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and the retrospective decision analysis of WP4 does not depend on live deployment. Open Swiss data are the fallback if no local series can be obtained, so access agreements remain a priority before the award.</w:t>
      </w:r>
    </w:p>
    <w:p>
      <w:pPr>
        <w:pStyle w:val="BodyText"/>
      </w:pPr>
      <w:r>
        <w:drawing>
          <wp:inline>
            <wp:extent cx="6640000" cy="502757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502757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MS1</w:t>
            </w:r>
          </w:p>
        </w:tc>
        <w:tc>
          <w:tcPr/>
          <w:p>
            <w:pPr>
              <w:pStyle w:val="Compact"/>
              <w:jc w:val="left"/>
            </w:pPr>
            <w:r>
              <w:t xml:space="preserve">4</w:t>
            </w:r>
          </w:p>
        </w:tc>
        <w:tc>
          <w:tcPr/>
          <w:p>
            <w:pPr>
              <w:pStyle w:val="Compact"/>
              <w:jc w:val="left"/>
            </w:pPr>
            <w:r>
              <w:t xml:space="preserve">Extraction protocol and outcome candidates registered (first registration)</w:t>
            </w:r>
          </w:p>
        </w:tc>
      </w:tr>
      <w:tr>
        <w:tc>
          <w:tcPr/>
          <w:p>
            <w:pPr>
              <w:pStyle w:val="Compact"/>
              <w:jc w:val="left"/>
            </w:pPr>
            <w:r>
              <w:t xml:space="preserve">MS2</w:t>
            </w:r>
          </w:p>
        </w:tc>
        <w:tc>
          <w:tcPr/>
          <w:p>
            <w:pPr>
              <w:pStyle w:val="Compact"/>
              <w:jc w:val="left"/>
            </w:pPr>
            <w:r>
              <w:t xml:space="preserve">9</w:t>
            </w:r>
          </w:p>
        </w:tc>
        <w:tc>
          <w:tcPr/>
          <w:p>
            <w:pPr>
              <w:pStyle w:val="Compact"/>
              <w:jc w:val="left"/>
            </w:pPr>
            <w:r>
              <w:t xml:space="preserve">Manual benchmark released</w:t>
            </w:r>
          </w:p>
        </w:tc>
      </w:tr>
      <w:tr>
        <w:tc>
          <w:tcPr/>
          <w:p>
            <w:pPr>
              <w:pStyle w:val="Compact"/>
              <w:jc w:val="left"/>
            </w:pPr>
            <w:r>
              <w:t xml:space="preserve">MS3</w:t>
            </w:r>
          </w:p>
        </w:tc>
        <w:tc>
          <w:tcPr/>
          <w:p>
            <w:pPr>
              <w:pStyle w:val="Compact"/>
              <w:jc w:val="left"/>
            </w:pPr>
            <w:r>
              <w:t xml:space="preserve">12</w:t>
            </w:r>
          </w:p>
        </w:tc>
        <w:tc>
          <w:tcPr/>
          <w:p>
            <w:pPr>
              <w:pStyle w:val="Compact"/>
              <w:jc w:val="left"/>
            </w:pPr>
            <w:r>
              <w:t xml:space="preserve">Data gate passed, pressure model passes its checks (or fallbacks chosen)</w:t>
            </w:r>
          </w:p>
        </w:tc>
      </w:tr>
      <w:tr>
        <w:tc>
          <w:tcPr/>
          <w:p>
            <w:pPr>
              <w:pStyle w:val="Compact"/>
              <w:jc w:val="left"/>
            </w:pPr>
            <w:r>
              <w:t xml:space="preserve">MS4</w:t>
            </w:r>
          </w:p>
        </w:tc>
        <w:tc>
          <w:tcPr/>
          <w:p>
            <w:pPr>
              <w:pStyle w:val="Compact"/>
              <w:jc w:val="left"/>
            </w:pPr>
            <w:r>
              <w:t xml:space="preserve">20</w:t>
            </w:r>
          </w:p>
        </w:tc>
        <w:tc>
          <w:tcPr/>
          <w:p>
            <w:pPr>
              <w:pStyle w:val="Compact"/>
              <w:jc w:val="left"/>
            </w:pPr>
            <w:r>
              <w:t xml:space="preserve">Second registration done, evidence inputs delivered</w:t>
            </w:r>
          </w:p>
        </w:tc>
      </w:tr>
      <w:tr>
        <w:tc>
          <w:tcPr/>
          <w:p>
            <w:pPr>
              <w:pStyle w:val="Compact"/>
              <w:jc w:val="left"/>
            </w:pPr>
            <w:r>
              <w:t xml:space="preserve">MS5</w:t>
            </w:r>
          </w:p>
        </w:tc>
        <w:tc>
          <w:tcPr/>
          <w:p>
            <w:pPr>
              <w:pStyle w:val="Compact"/>
              <w:jc w:val="left"/>
            </w:pPr>
            <w:r>
              <w:t xml:space="preserve">34</w:t>
            </w:r>
          </w:p>
        </w:tc>
        <w:tc>
          <w:tcPr/>
          <w:p>
            <w:pPr>
              <w:pStyle w:val="Compact"/>
              <w:jc w:val="left"/>
            </w:pPr>
            <w:r>
              <w:t xml:space="preserve">Main respiratory test done</w:t>
            </w:r>
          </w:p>
        </w:tc>
      </w:tr>
      <w:tr>
        <w:tc>
          <w:tcPr/>
          <w:p>
            <w:pPr>
              <w:pStyle w:val="Compact"/>
              <w:jc w:val="left"/>
            </w:pPr>
            <w:r>
              <w:t xml:space="preserve">MS6</w:t>
            </w:r>
          </w:p>
        </w:tc>
        <w:tc>
          <w:tcPr/>
          <w:p>
            <w:pPr>
              <w:pStyle w:val="Compact"/>
              <w:jc w:val="left"/>
            </w:pPr>
            <w:r>
              <w:t xml:space="preserve">42</w:t>
            </w:r>
          </w:p>
        </w:tc>
        <w:tc>
          <w:tcPr/>
          <w:p>
            <w:pPr>
              <w:pStyle w:val="Compact"/>
              <w:jc w:val="left"/>
            </w:pPr>
            <w:r>
              <w:t xml:space="preserve">Heat and legionellosis tests done</w:t>
            </w:r>
          </w:p>
        </w:tc>
      </w:tr>
      <w:tr>
        <w:tc>
          <w:tcPr/>
          <w:p>
            <w:pPr>
              <w:pStyle w:val="Compact"/>
              <w:jc w:val="left"/>
            </w:pPr>
            <w:r>
              <w:t xml:space="preserve">MS7</w:t>
            </w:r>
          </w:p>
        </w:tc>
        <w:tc>
          <w:tcPr/>
          <w:p>
            <w:pPr>
              <w:pStyle w:val="Compact"/>
              <w:jc w:val="left"/>
            </w:pPr>
            <w:r>
              <w:t xml:space="preserve">48</w:t>
            </w:r>
          </w:p>
        </w:tc>
        <w:tc>
          <w:tcPr/>
          <w:p>
            <w:pPr>
              <w:pStyle w:val="Compact"/>
              <w:jc w:val="left"/>
            </w:pPr>
            <w:r>
              <w:t xml:space="preserve">Decision value measured, dashboard running where authorised, all results reported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library of evidence-derived inputs, the code and, where open data are used, the forecasting benchmark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crisis types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biomedical research, prediction across settings and collaborative software development. I built the methods, the prototype and the data relationships that make this project feasible, mostly inside existing programmes. HEADSTART gives me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br w:type="page"/>
      </w: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 doi:10.1097/QAI.0000000000003108</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2020;9:646. doi:10.12688/f1000research.24497.2</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2026-10-15T05:53:01Z</dcterms:created>
  <dcterms:modified xsi:type="dcterms:W3CDTF">2026-10-15T05:53:01Z</dcterms:modified>
</cp:coreProperties>
</file>

<file path=docProps/custom.xml><?xml version="1.0" encoding="utf-8"?>
<Properties xmlns="http://schemas.openxmlformats.org/officeDocument/2006/custom-properties" xmlns:vt="http://schemas.openxmlformats.org/officeDocument/2006/docPropsVTypes"/>
</file>