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evidence-informed champion against the local-only champion, repeated once, sequentially, as the heat generalisation test.</w:t>
      </w:r>
    </w:p>
    <w:p>
      <w:pPr>
        <w:pStyle w:val="BodyText"/>
      </w:pPr>
      <w:r>
        <w:t xml:space="preserve">Every component is validated first on open surveillance and demand series (a public, re-runnable benchmark), then on Geneva's operational series. Respiratory epidemics carry the confirmatory test, heatwaves the sequential generalisation test, Geneva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build surveillance, epidemic-intelligence, forecasting or decision-support capability; none has as a stated objective testing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it is applied: the evidence-to-model loop this proposal interrogates, in prototype</w:t>
      </w:r>
      <w:r>
        <w:t xml:space="preserve"> </w:t>
      </w:r>
      <w:r>
        <w:t xml:space="preserve">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and why</w:t>
      </w:r>
      <w:r>
        <w:t xml:space="preserve"> </w:t>
      </w:r>
      <w:r>
        <w:t xml:space="preserve">validation 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so the grant</w:t>
      </w:r>
      <w:r>
        <w:t xml:space="preserve"> </w:t>
      </w:r>
      <w:r>
        <w:t xml:space="preserve">adds the science (the two arms, the registered rules, episode-level inference), not the</w:t>
      </w:r>
      <w:r>
        <w:t xml:space="preserve"> </w:t>
      </w:r>
      <w:r>
        <w:t xml:space="preserve">plumbing; the validated 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466" w:type="dxa"/>
        <w:tblLook w:firstRow="1" w:lastRow="0" w:firstColumn="0" w:lastColumn="0" w:noHBand="0" w:noVBand="0" w:val="0020"/>
        <w:jc w:val="start"/>
        <w:tblLayout w:type="fixed"/>
      </w:tblPr>
      <w:tblGrid>
        <w:gridCol w:w="1560"/>
        <w:gridCol w:w="2541"/>
        <w:gridCol w:w="636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8445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84457"/>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critical-slowing-down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as a registered fraction of the minimal relevant H3a improvement: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 The primary test values the whole evidence-informed configuration; the prior component's own contribution is isolated by registered secondary contrasts within the same model family.</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archetype's cause classes (T3.0):</w:t>
      </w:r>
      <w:r>
        <w:t xml:space="preserve"> </w:t>
      </w:r>
      <w:r>
        <w:t xml:space="preserve">respiratory-related demand for epidemics;</w:t>
      </w:r>
      <w:r>
        <w:t xml:space="preserve"> </w:t>
      </w:r>
      <w:r>
        <w:rPr>
          <w:bCs/>
          <w:b/>
        </w:rPr>
        <w:t xml:space="preserve">heat-sensitive demand</w:t>
      </w:r>
      <w:r>
        <w:t xml:space="preserve"> </w:t>
      </w:r>
      <w:r>
        <w:t xml:space="preserve">for heat, Swiss</w:t>
      </w:r>
      <w:r>
        <w:t xml:space="preserve"> </w:t>
      </w:r>
      <w:r>
        <w:t xml:space="preserve">evidence placing heat effects in dehydration, renal and psychiatric admissions, with a weak</w:t>
      </w:r>
      <w:r>
        <w:t xml:space="preserve"> </w:t>
      </w:r>
      <w:r>
        <w:t xml:space="preserve">respiratory effect at older ages [Schulte 2024; Ragettli 2019].</w:t>
      </w:r>
    </w:p>
    <w:p>
      <w:pPr>
        <w:pStyle w:val="BodyText"/>
      </w:pPr>
      <w:r>
        <w:rPr>
          <w:bCs/>
          <w:b/>
        </w:rPr>
        <w:t xml:space="preserve">Respiratory epidemics</w:t>
      </w:r>
      <w:r>
        <w:t xml:space="preserve"> </w:t>
      </w:r>
      <w:r>
        <w:t xml:space="preserve">(transmissible, multi-wave; COVID-19, influenza, RSV) carry the confirmatory test;</w:t>
      </w:r>
      <w:r>
        <w:t xml:space="preserve"> </w:t>
      </w:r>
      <w:r>
        <w:rPr>
          <w:bCs/>
          <w:b/>
        </w:rPr>
        <w:t xml:space="preserve">heatwaves</w:t>
      </w:r>
      <w:r>
        <w:t xml:space="preserve"> </w:t>
      </w:r>
      <w:r>
        <w:t xml:space="preserve">(environmental, sharply peaked; MeteoSwiss exposures) the sequential generalisation;</w:t>
      </w:r>
      <w:r>
        <w:t xml:space="preserve"> </w:t>
      </w:r>
      <w:r>
        <w:rPr>
          <w:bCs/>
          <w:b/>
        </w:rPr>
        <w:t xml:space="preserve">Geneva legionellosis</w:t>
      </w:r>
      <w:r>
        <w:t xml:space="preserve"> </w:t>
      </w:r>
      <w:r>
        <w:t xml:space="preserve">the year-4 waterborne extension (T3.5).</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by month 48: the dashboard runs strictly in observation mode.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 dispersion, with a pre-specified interval (under-dispersion: ratio below one), and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their inputs' native cadence,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integrated with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only fixes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a canton whose data ecosystem I already work in; generalisation is carried by the contrasting archetypes and the open national series.</w:t>
      </w:r>
    </w:p>
    <w:p>
      <w:pPr>
        <w:pStyle w:val="BodyText"/>
      </w:pPr>
      <w:r>
        <w:rPr>
          <w:bCs/>
          <w:b/>
        </w:rPr>
        <w:t xml:space="preserve">Data-access gate.</w:t>
      </w:r>
      <w:r>
        <w:t xml:space="preserve"> </w:t>
      </w:r>
      <w:r>
        <w:t xml:space="preserve">Criteria for</w:t>
      </w:r>
      <w:r>
        <w:t xml:space="preserve"> </w:t>
      </w:r>
      <w:r>
        <w:rPr>
          <w:bCs/>
          <w:b/>
        </w:rPr>
        <w:t xml:space="preserve">historical depth, resolution, latency and completeness</w:t>
      </w:r>
      <w:r>
        <w:t xml:space="preserve"> </w:t>
      </w:r>
      <w:r>
        <w:t xml:space="preserve">are fixed in advance;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w:t>
      </w:r>
      <w:r>
        <w:t xml:space="preserve">(concurrent influenza and RSV is one surge).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freely accessible and requiring no agreement: federal respiratory surveillance, the national wastewater programme, weekly all-cause deaths for the heat arm,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validates every component before operational data arrive, and makes the central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previously analysed HUG COVID-19 hospitalisation series [Orel 2024], re-requested as a respiratory calibration series,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(pre-specified metrics: CRPS, log score, calibration; after T2.5 validity checks; blind to the other arm); the fixed champion then issues the outer forecast, scored on subsequently observed outcomes. Selection never sees the outcomes it is scored on; identical machinery in both arms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mean, equal weight per episode.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a registered fraction of the minimal relevant improvement, its power then checked by the same simulation; both chosen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event types whose models pass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registered regulatory pathway (CCER approval with me as applicant where required);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466" w:type="dxa"/>
        <w:tblLook w:firstRow="1" w:lastRow="0" w:firstColumn="0" w:lastColumn="0" w:noHBand="0" w:noVBand="0" w:val="0020"/>
        <w:jc w:val="start"/>
        <w:tblLayout w:type="fixed"/>
      </w:tblPr>
      <w:tblGrid>
        <w:gridCol w:w="4000"/>
        <w:gridCol w:w="1712"/>
        <w:gridCol w:w="475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hospitalisations (HUG)</w:t>
            </w:r>
          </w:p>
        </w:tc>
        <w:tc>
          <w:tcPr/>
          <w:p>
            <w:pPr>
              <w:pStyle w:val="Compact"/>
              <w:jc w:val="left"/>
            </w:pPr>
            <w:r>
              <w:t xml:space="preserve">Re-request planned</w:t>
            </w:r>
          </w:p>
        </w:tc>
        <w:tc>
          <w:tcPr/>
          <w:p>
            <w:pPr>
              <w:pStyle w:val="Compact"/>
              <w:jc w:val="left"/>
            </w:pPr>
            <w:r>
              <w:t xml:space="preserve">Previously analysed [Orel 2024];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466" w:type="dxa"/>
        <w:tblLook w:firstRow="1" w:lastRow="0" w:firstColumn="0" w:lastColumn="0" w:noHBand="0" w:noVBand="0" w:val="0020"/>
        <w:jc w:val="start"/>
        <w:tblLayout w:type="fixed"/>
      </w:tblPr>
      <w:tblGrid>
        <w:gridCol w:w="4338"/>
        <w:gridCol w:w="612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the regulatory clarification</w:t>
      </w:r>
      <w:r>
        <w:t xml:space="preserve"> </w:t>
      </w:r>
      <w:r>
        <w:t xml:space="preserve">(BASEC clarification of competence: do aggregated, non-identifying extracts require CCER approval? If so, submission with me as applicant);</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WP3's open-data track runs regardless of operational access, and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3031303"/>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3031303"/>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466" w:type="dxa"/>
        <w:tblLook w:firstRow="1" w:lastRow="0" w:firstColumn="0" w:lastColumn="0" w:noHBand="0" w:noVBand="0" w:val="0020"/>
        <w:jc w:val="start"/>
        <w:tblLayout w:type="fixed"/>
      </w:tblPr>
      <w:tblGrid>
        <w:gridCol w:w="1560"/>
        <w:gridCol w:w="1560"/>
        <w:gridCol w:w="734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routinely seed early-crisis models with parameters lifted from a few studies, and evidence-synthesis platforms (mine included) assume pooled estimates are reusable as priors; a calibrated null tells both that the practice buys nothing where it is most used.</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archetypes show what transfers.</w:t>
      </w:r>
    </w:p>
    <w:p>
      <w:pPr>
        <w:pStyle w:val="BodyText"/>
      </w:pPr>
      <w:r>
        <w:rPr>
          <w:bCs/>
          <w:b/>
        </w:rPr>
        <w:t xml:space="preserve">Where this points operationally.</w:t>
      </w:r>
      <w:r>
        <w:t xml:space="preserve"> </w:t>
      </w:r>
      <w:r>
        <w:t xml:space="preserve">Each validated event type leaves a registered, automatically re-validated configuration and a daily observation-mode dashboard in the hands of the services that would use it. Extending that nucleus into a multi-crisis surveillance platform, event type by event type as models validate, is the explicit post-grant pathway; this project supplies the validated core and update rules that make it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none of the programmes below has this project's objective.</w:t>
      </w:r>
    </w:p>
    <w:tbl>
      <w:tblPr>
        <w:tblStyle w:val="Table"/>
        <w:tblW w:w="10466" w:type="dxa"/>
        <w:tblLook w:firstRow="1" w:lastRow="0" w:firstColumn="0" w:lastColumn="0" w:noHBand="0" w:noVBand="0" w:val="0020"/>
        <w:jc w:val="start"/>
        <w:tblLayout w:type="fixed"/>
      </w:tblPr>
      <w:tblGrid>
        <w:gridCol w:w="1972"/>
        <w:gridCol w:w="3942"/>
        <w:gridCol w:w="1560"/>
        <w:gridCol w:w="2992"/>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open resources the field can build on, and a first-author methodological record in my own name: the basis for group leadership or a professorship.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00" w:right="720" w:bottom="600" w:left="72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2026-10-07T14:11:17Z</dcterms:created>
  <dcterms:modified xsi:type="dcterms:W3CDTF">2026-10-07T14:11:17Z</dcterms:modified>
</cp:coreProperties>
</file>

<file path=docProps/custom.xml><?xml version="1.0" encoding="utf-8"?>
<Properties xmlns="http://schemas.openxmlformats.org/officeDocument/2006/custom-properties" xmlns:vt="http://schemas.openxmlformats.org/officeDocument/2006/docPropsVTypes"/>
</file>