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evidence from other settings and past events can improve forecasts before enough outcomes from the current episode are available, and whether the method can detect when that evidence is misleading. Published studies help identify plausible parameter values, relevant explanatory variables and their lags, suitable model forms, and outcome definitions and warning thresholds. A prior is a probability distribution for model parameters before it is updated with outcomes from the current episode. It represents uncertainty rather than treating a published estimate as exact. HEADSTART will extract this information, measure extraction error and assess how relevant each finding is to the local setting. The main focus is on comparing an evidence-informed strategy to a reference strategy. Both employ the same available context feeds, previous local outcomes, and the outcomes observed so far in the current episode. Only the evidence-informed strategy uses information extracted from published studies to refine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at the junction of statistics, mathematics and machine learning, then spent eleven years in quantitative finance on rare-event risk, regime changes and stress testing, and I am a certified Financial Risk Manager. A doctorate in biomedical sciences at Geneva brought these methods to public health. I conceived and built LiteRev with Aziza Merzouki and Olivia Keiser and extended it into LiteRev-Evidence, the prototype for evidence extraction and model comparison. Through GESICA I work with Geneva's emergency and surveillance data, and through GeoAI4EI (Horizon Europe)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[Farrington 1996; Noufaily 2013], and ensembles of forecasting models perform strongly when outcome data are rich [Cramer 2022; Sherratt 2023]. Emergency dispatch records move ahead of confirmed surveillance. The autumn wave of the 2009 A(H1N1) pandemic was seen eight days early in three European regions [Rosenkötter 2013], long series of emergency calls track influenza-like illness [Bonora 2025], and our systematic review maps the field [Edjinedja 2026].</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[Lazer 2014].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[Ibrahim 2000], commensurate priors [Hobbs 2011] and robust meta-analytic-predictive priors [Schmidli 2014]. Informative priors have also been used to forecast diseases with little local data [Cook 2023].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[Elliott 2014].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[Shankar 2026].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[Bareinboim 2016; Dahabreh 2020; Degtiar 2023], but they have not been combined with automated extraction, and their effect on forecasts at the start of a crisis has not been measured.</w:t>
      </w:r>
    </w:p>
    <w:bookmarkEnd w:id="22"/>
    <w:bookmarkStart w:id="23" w:name="X8d342a1ae2f8c82ff8e9121d007457c97fd6ea7"/>
    <w:p>
      <w:pPr>
        <w:pStyle w:val="Heading3"/>
      </w:pPr>
      <w:r>
        <w:t xml:space="preserve">2.1.3 Escalation of the demand for the service should also be assessed</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[Le Strat 1999; Watkins 2009], and extreme-value methods describe rare peaks in demand [Coles 2001], including hospital congestion in Switzerland [Ranjbar 2022].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[Keeling 2008] are considered only for infectious crises, and heat is modelled through exposure and response. Rises in variance and in day-to-day correlation, which precede some transitions [Scheffer 2009] and have been studied in epidemics [O'Regan 2013; Brett 2018; Southall 2021],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[Gneiting 2007], and decision analysis judges them by their consequences [Vickers 2006]. Heat thresholds built on mortality need not match those for service demand [Lung 2021], and the link between air pollution and asthma emergencies varies between places [Zheng 2015].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I studied quantitative economics and econometrics (MSc and DEA, University of Geneva), a discipline at the junction of statistics, mathematics and machine learning, built around modelling and prediction. I then worked for eleven years in quantitative finance on risk, extreme values, regime models and stress testing, and became a certified Financial Risk Manager (FRM), before completing a doctorate in biomedical sciences at Geneva (defended 18 December 2023). This combination provides the methods for forecasting rare events and the public-health training to apply them to emergency services.</w:t>
      </w:r>
    </w:p>
    <w:bookmarkStart w:id="27" w:name="X79f512daa76dde01429b5fcb893d8ff3c91b25a"/>
    <w:p>
      <w:pPr>
        <w:pStyle w:val="Heading3"/>
      </w:pPr>
      <w:r>
        <w:t xml:space="preserve">2.2.1 Prediction under sparse and imperfect information</w:t>
      </w:r>
    </w:p>
    <w:p>
      <w:pPr>
        <w:pStyle w:val="FirstParagraph"/>
      </w:pPr>
      <w:r>
        <w:t xml:space="preserve">In [Orel 2022] I used socio-behavioural attributes to predict HIV status at the individual level for East and Southern Africa and determined the contexts where model relationships transferred. [Merzouki 2021] and [Esra 2023] performed similar studies. As last author of [Ng'ambi 2026] (accepted), I directed the classification of self-reported cardiovascular disease across harmonised WHO STEPS surveys, a senior role on the question of when model relationships transfer across settings.</w:t>
      </w:r>
    </w:p>
    <w:bookmarkEnd w:id="27"/>
    <w:bookmarkStart w:id="28" w:name="Xba523bf0c9ce96e07c41e7deb8806875f5dbd29"/>
    <w:p>
      <w:pPr>
        <w:pStyle w:val="Heading3"/>
      </w:pPr>
      <w:r>
        <w:t xml:space="preserve">2.2.2 Automated evidence synthesis</w:t>
      </w:r>
    </w:p>
    <w:p>
      <w:pPr>
        <w:pStyle w:val="FirstParagraph"/>
      </w:pPr>
      <w:r>
        <w:t xml:space="preserve">I conceived and built LiteRev [Orel 2023] with Aziza Merzouki (PhD, computer science) and Prof. Olivia Keiser. The tool automatically performs systematic searches using natural language or Boolean queries, removes duplicates and maps the literature. On my own initiative I raised CHF 30,000 from UNIGE, CHF 10,000 from the Fondation Ernst et Lucie Schmidheiny, CHF 10,000 from Venture Kick and CHF 20,000 from Mimosa. The systematic review of AI in emergency medical services [Edjinedja 2026] uses LiteRev in its methods as part of GESICA.</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 sub-lineages in a Swiss tertiary centre. [Estill 2020] developed age-structured scenarios for the Swiss SARS-CoV-2 epidemic to support decisions under time pressure. That work helped motivate the present question. I also contributed to WHO African Region 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extended LiteRev into LiteRev-Evidence, a prototype for structured numerical extraction and modelling. In its current form it searches and deduplicates the literature, records screening decisions with PRISMA accounting, extracts study details and PICO elements (population, intervention, comparator and outcome), tracks the source and certainty of each extracted number, and pools results into distributions of plausible parameter values. It suggests explanatory variables with their supporting studies, identifies candidate outcomes, fits models across algorithm families with time-series validation, and builds compartmental model components from published parameter ranges. Evidence updates are reviewed before they are applied. These functions exist as a prototype only. None has yet been verified, measured or validated, and that is the work of this grant.</w:t>
      </w:r>
    </w:p>
    <w:p>
      <w:pPr>
        <w:pStyle w:val="BodyText"/>
      </w:pPr>
      <w:r>
        <w:t xml:space="preserve">For GESICA I built the data foundation of the Geneva–Vaud–Neuchâtel network for influenza, COVID-19 and RSV, whose Geneva component HEADSTART uses. It includes an inventory of 28 surveillance sources (23 infectious and 5 environmental), each described by coverage, resolution, latency, access and quality. Within GeoAI4EI (Horizon Europe, 2026–2030) I contribute to the European epidemic-intelligence toolbox, which connects this work to European partners.</w:t>
      </w:r>
    </w:p>
    <w:p>
      <w:pPr>
        <w:pStyle w:val="BodyText"/>
      </w:pPr>
      <w:r>
        <w:t xml:space="preserve">The prototype reduces development risk, since its literature-search, extraction and model-selection components already run in preliminary form. The grant focuses on the scientific questions that remain open, namely whether the extracted evidence is sufficiently reliable, whether it transfers to local settings and whether it improves forecasts under the registered comparison.</w:t>
      </w:r>
    </w:p>
    <w:bookmarkEnd w:id="30"/>
    <w:bookmarkStart w:id="31" w:name="X1fa1d02bb9f188520110e9eb1f6566fa8b79aa3"/>
    <w:p>
      <w:pPr>
        <w:pStyle w:val="Heading3"/>
      </w:pPr>
      <w:r>
        <w:t xml:space="preserve">2.2.5 Linked data on a contrasting crisis type</w:t>
      </w:r>
    </w:p>
    <w:p>
      <w:pPr>
        <w:pStyle w:val="FirstParagraph"/>
      </w:pPr>
      <w:r>
        <w:t xml:space="preserve">I lead the data work for a cantonal study already under way (BASEC 2026-00324, ethics granted) that links confirmed legionellosis cases in Geneva to individual domestic hot-water installations. These linked data are the basis of the third test, on legionellosis case incidence, in year four.</w:t>
      </w:r>
    </w:p>
    <w:p>
      <w:pPr>
        <w:pStyle w:val="BodyText"/>
      </w:pPr>
      <w:r>
        <w:t xml:space="preserve">My finance work provides experience in Bayesian hierarchical modelling, regime changes, extreme values and stress testing under misspecification. LiteRev-Evidence provides extraction and pooling. My doctorate, the Swiss COVID-19 work and GESICA provide the Geneva and public-health context.</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help estimate the relationship between the inputs and the outcome of interest, provided its uncertainty and local relevance are represented.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Does automated extraction preserve the uncertainty reported in studies?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the model reduce reliance on published evidence when it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284571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845714"/>
                    </a:xfrm>
                    <a:prstGeom prst="rect">
                      <a:avLst/>
                    </a:prstGeom>
                    <a:noFill/>
                    <a:ln w="9525">
                      <a:noFill/>
                      <a:headEnd/>
                      <a:tailEnd/>
                    </a:ln>
                  </pic:spPr>
                </pic:pic>
              </a:graphicData>
            </a:graphic>
          </wp:inline>
        </w:drawing>
      </w:r>
    </w:p>
    <w:p>
      <w:pPr>
        <w:pStyle w:val="BodyText"/>
      </w:pPr>
      <w:r>
        <w:rPr>
          <w:iCs/>
          <w:i/>
        </w:rPr>
        <w:t xml:space="preserve">Figure 1. What exists at the start of a crisis, what HEADSTART does (WP1 to WP4), the test, and where it runs.</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w:t>
      </w:r>
    </w:p>
    <w:p>
      <w:pPr>
        <w:pStyle w:val="FirstParagraph"/>
      </w:pPr>
      <w:r>
        <w:t xml:space="preserve">Automated extraction also misses numbers entirely [Shankar 2026].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made wrong,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 plan registers a short list of clinically relevant outcomes, cause-filtered emergency calls (CASU-144), emergency-department visits by cause, hospital admissions or occupancy, and ICU occupancy, filtered by the causes and population groups that the evidence supports [Schulte 2024; Ragettli 2019]. The target is selected from this hierarchy on access, data quality, resolution and operational relevance, before any forecast performance is compared, and it does not change afterwards. Open public series support the validation of the methods but are not presented as a substitute for local service-demand data. A month-12 data gate checks that the selected target meets the registered criteria, otherwise the next outcome in the hierarchy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[Wargon 2009]. (4) How studies define outcomes and warning thresholds [Lung 2021].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Disagreements are settled by discussion and the decision is recorded.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expert time is limited, the benchmark narrows to the core parameter classes.</w:t>
      </w:r>
    </w:p>
    <w:bookmarkEnd w:id="47"/>
    <w:bookmarkEnd w:id="48"/>
    <w:bookmarkStart w:id="54" w:name="Xc0434c24ca00f6b112465fd7b991c18f654948c"/>
    <w:p>
      <w:pPr>
        <w:pStyle w:val="Heading4"/>
      </w:pPr>
      <w:r>
        <w:t xml:space="preserve">WP2. Model levels of health-system pressure (M1–M28)</w:t>
      </w:r>
    </w:p>
    <w:bookmarkStart w:id="49" w:name="Xcfcc11e2b7bec828711203675136706e3bef48c"/>
    <w:p>
      <w:pPr>
        <w:pStyle w:val="Heading5"/>
      </w:pPr>
      <w:r>
        <w:t xml:space="preserve">T2.1. Specify and identify the state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[Hamilton 1989].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and commensurate priors are run as sensitivity checks.</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and conformal prediction [Angelopoulos 2023; Barber 2023] is tried as an extra check where its assumptions hold.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11394d15ad926b825360dd8c79c1031038fa8f4"/>
    <w:p>
      <w:pPr>
        <w:pStyle w:val="Heading4"/>
      </w:pPr>
      <w:r>
        <w:t xml:space="preserve">WP3. Test forecasts using historically available information (M12–M42)</w:t>
      </w:r>
    </w:p>
    <w:bookmarkStart w:id="55" w:name="Xa694a77d033b61f3d1e7d09fe04f1af6ed4966d"/>
    <w:p>
      <w:pPr>
        <w:pStyle w:val="Heading5"/>
      </w:pPr>
      <w:r>
        <w:t xml:space="preserve">T3.0. Outcome hierarchy, data-access gate and episode eligibility (M1–M14)</w:t>
      </w:r>
    </w:p>
    <w:p>
      <w:pPr>
        <w:pStyle w:val="FirstParagraph"/>
      </w:pPr>
      <w:r>
        <w:t xml:space="preserve">Outcomes. The outcomes considered are, in order, cause-filtered emergency calls (CASU-144), emergency-department visits by cause, hospital admissions or occupancy, and ICU occupancy. For each test, the target is chosen from this list on access, data quality, time resolution and usefulness for the services, before any forecast is compared. The causes and population groups used to filter it come from the evidence, not from this plan. Once chosen, the target stays fixed, so that no outcome can be picked afterwards because it gives better results. The other outcomes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[Cramer 2022; Sherratt 2023].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[Höhle 2014; McGough 2020], because reporting tends to slow down under pressure and can look like an early warning. The HUG COVID-19 hospitalisation data I analysed before [Orel 2024]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[Salmon 2016],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est-generalisation-m34m42"/>
    <w:p>
      <w:pPr>
        <w:pStyle w:val="Heading5"/>
      </w:pPr>
      <w:r>
        <w:t xml:space="preserve">T3.5. Test generalisation (M34–M42)</w:t>
      </w:r>
    </w:p>
    <w:p>
      <w:pPr>
        <w:pStyle w:val="FirstParagraph"/>
      </w:pPr>
      <w:r>
        <w:t xml:space="preserve">The heat test is the second test. The legionellosis test, in year four, applies the same comparison to case-incidence forecasts at the start of an outbreak, using the linked case-environment data.</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of local emergency demand.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Xf4a9556a51514f6c6cfe18f6354d6daf4608cf0"/>
    <w:p>
      <w:pPr>
        <w:pStyle w:val="Heading5"/>
      </w:pPr>
      <w:r>
        <w:t xml:space="preserve">T4.1. Elicit operational losses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4cfbd1a8ade59679f40817fa3772f5316ec74f9"/>
    <w:p>
      <w:pPr>
        <w:pStyle w:val="Heading5"/>
      </w:pPr>
      <w:r>
        <w:t xml:space="preserve">T4.2. Decision-analytic evaluation and equity audit (M30–M40)</w:t>
      </w:r>
    </w:p>
    <w:p>
      <w:pPr>
        <w:pStyle w:val="FirstParagraph"/>
      </w:pPr>
      <w:r>
        <w:t xml:space="preserve">The WP3 forecasts are re-assessed on the decisions they would trigger, with net-benefit, decision-curve and value-of-information methods, to see whether the ranking of the models changes once the costs of wrong decisions are counted. Calibration and threshold performance are also checked across groups by age, sex and, where the data allow, neighbourhood deprivation. A model that is well calibrated overall but poor for a group that matters for decisions does not pass.</w:t>
      </w:r>
    </w:p>
    <w:bookmarkEnd w:id="63"/>
    <w:bookmarkStart w:id="64" w:name="X12c081cf56367bd4c71fa0269d3fcc441aaadcf"/>
    <w:p>
      <w:pPr>
        <w:pStyle w:val="Heading5"/>
      </w:pPr>
      <w:r>
        <w:t xml:space="preserve">T4.3. Counterfactuals, observation-mode dashboard and living updating (M34–M48)</w:t>
      </w:r>
    </w:p>
    <w:p>
      <w:pPr>
        <w:pStyle w:val="FirstParagraph"/>
      </w:pPr>
      <w:r>
        <w:t xml:space="preserve">For selected past episodes, a simple capacity model estimates what might have changed had escalation followed the forecast. Uncertainty is carried through and the results are not presented as causal. 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[Elliott 2014].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(counterfactual analysis and, where authorised, the dashboard and update protocol).</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089"/>
        <w:gridCol w:w="2339"/>
        <w:gridCol w:w="3151"/>
        <w:gridCol w:w="2967"/>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w:t>
            </w:r>
          </w:p>
        </w:tc>
      </w:tr>
      <w:tr>
        <w:tc>
          <w:tcPr/>
          <w:p>
            <w:pPr>
              <w:pStyle w:val="Compact"/>
              <w:jc w:val="left"/>
            </w:pPr>
            <w:r>
              <w:t xml:space="preserve">HUG, emergency department</w:t>
            </w:r>
          </w:p>
        </w:tc>
        <w:tc>
          <w:tcPr/>
          <w:p>
            <w:pPr>
              <w:pStyle w:val="Compact"/>
              <w:jc w:val="left"/>
            </w:pPr>
            <w:r>
              <w:t xml:space="preserve">Prof. Thibaut Desmettre, head of department</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CASU-144, HUG</w:t>
            </w:r>
          </w:p>
        </w:tc>
        <w:tc>
          <w:tcPr/>
          <w:p>
            <w:pPr>
              <w:pStyle w:val="Compact"/>
              <w:jc w:val="left"/>
            </w:pPr>
            <w:r>
              <w:t xml:space="preserve">Dr Robert Larribau</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Douglas Teodoro</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pPr>
          </w:p>
        </w:tc>
        <w:tc>
          <w:tcPr/>
          <w:p>
            <w:pPr>
              <w:pStyle w:val="Compact"/>
              <w:jc w:val="left"/>
            </w:pPr>
            <w:r>
              <w:t xml:space="preserve">Legionellosis linked data</w:t>
            </w:r>
          </w:p>
        </w:tc>
        <w:tc>
          <w:tcPr/>
          <w:p>
            <w:pPr>
              <w:pStyle w:val="Compact"/>
              <w:jc w:val="left"/>
            </w:pPr>
            <w:r>
              <w:t xml:space="preserve">Secured,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Under the 2026 rules, doctoral students and postdocs cannot be employed, but support personnel can.</w:t>
      </w:r>
    </w:p>
    <w:tbl>
      <w:tblPr>
        <w:tblStyle w:val="Table"/>
        <w:tblW w:w="10546" w:type="dxa"/>
        <w:tblLook w:firstRow="1" w:lastRow="0" w:firstColumn="0" w:lastColumn="0" w:noHBand="0" w:noVBand="0" w:val="0020"/>
        <w:jc w:val="start"/>
        <w:tblLayout w:type="fixed"/>
      </w:tblPr>
      <w:tblGrid>
        <w:gridCol w:w="4155"/>
        <w:gridCol w:w="639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 collaborator, up to 40% over 48 months</w:t>
            </w:r>
          </w:p>
        </w:tc>
        <w:tc>
          <w:tcPr/>
          <w:p>
            <w:pPr>
              <w:pStyle w:val="Compact"/>
              <w:jc w:val="left"/>
            </w:pPr>
            <w:r>
              <w:t xml:space="preserve">Benchmark support, data harmonisation, evaluation pipeline, reproducibility</w:t>
            </w:r>
          </w:p>
        </w:tc>
      </w:tr>
      <w:tr>
        <w:tc>
          <w:tcPr/>
          <w:p>
            <w:pPr>
              <w:pStyle w:val="Compact"/>
              <w:jc w:val="left"/>
            </w:pPr>
            <w:r>
              <w:t xml:space="preserve">Master's student as second extractor, M3–M9</w:t>
            </w:r>
          </w:p>
        </w:tc>
        <w:tc>
          <w:tcPr/>
          <w:p>
            <w:pPr>
              <w:pStyle w:val="Compact"/>
              <w:jc w:val="left"/>
            </w:pPr>
            <w:r>
              <w:t xml:space="preserve">Second extraction arm of the T1.2 benchmark</w:t>
            </w:r>
          </w:p>
        </w:tc>
      </w:tr>
      <w:tr>
        <w:tc>
          <w:tcPr/>
          <w:p>
            <w:pPr>
              <w:pStyle w:val="Compact"/>
              <w:jc w:val="left"/>
            </w:pPr>
            <w:r>
              <w:t xml:space="preserve">Data access, secure storage and processing</w:t>
            </w:r>
          </w:p>
        </w:tc>
        <w:tc>
          <w:tcPr/>
          <w:p>
            <w:pPr>
              <w:pStyle w:val="Compact"/>
              <w:jc w:val="left"/>
            </w:pPr>
            <w:r>
              <w:t xml:space="preserve">Project-specific extractions and secure-environment runs beyond existing infrastructure</w:t>
            </w:r>
          </w:p>
        </w:tc>
      </w:tr>
      <w:tr>
        <w:tc>
          <w:tcPr/>
          <w:p>
            <w:pPr>
              <w:pStyle w:val="Compact"/>
              <w:jc w:val="left"/>
            </w:pPr>
            <w:r>
              <w:t xml:space="preserve">Travel, conferences, incoming visits</w:t>
            </w:r>
          </w:p>
        </w:tc>
        <w:tc>
          <w:tcPr/>
          <w:p>
            <w:pPr>
              <w:pStyle w:val="Compact"/>
              <w:jc w:val="left"/>
            </w:pPr>
            <w:r>
              <w:t xml:space="preserve">Presentation of results,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The scientific collaborator supports the benchmark, the data harmonisation, the evaluation pipeline and reproducibility, and a master's student provides the second extraction arm from months 3 to 9.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262712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700"/>
        <w:gridCol w:w="1560"/>
        <w:gridCol w:w="728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running, service series harmonised (or fallback)</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I have developed the methods, prototype and data relationships that make this project feasible, but much of that work has been carried out within existing programmes. HEADSTART gives me a separate scientific question and a programme that I will lead.</w:t>
      </w:r>
    </w:p>
    <w:tbl>
      <w:tblPr>
        <w:tblStyle w:val="Table"/>
        <w:tblW w:w="10546" w:type="dxa"/>
        <w:tblLook w:firstRow="1" w:lastRow="0" w:firstColumn="0" w:lastColumn="0" w:noHBand="0" w:noVBand="0" w:val="0020"/>
        <w:jc w:val="start"/>
        <w:tblLayout w:type="fixed"/>
      </w:tblPr>
      <w:tblGrid>
        <w:gridCol w:w="2148"/>
        <w:gridCol w:w="3890"/>
        <w:gridCol w:w="1560"/>
        <w:gridCol w:w="2948"/>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HEADSTART is distinct from GESICA and GeoAI4EI, which develop epidemic-intelligence and decision-support capabilities rather than testing published evidence as a forecasting input.</w:t>
      </w:r>
    </w:p>
    <w:p>
      <w:pPr>
        <w:pStyle w:val="BodyText"/>
      </w:pPr>
      <w:r>
        <w:t xml:space="preserve">I conceived and built LiteRev with Aziza Merzouki and Prof. Olivia Keiser. My current extension, LiteRev-Evidence, adds structured numerical extraction and modelling. It can turn published estimates into parameter distributions, but whether using those distributions improves forecasts in a new setting has not been established. My quantitative-finance work provides methods for rare events, regime changes and stress testing, and LiteRev-Evidence provides the evidence pipeline. The research question and the confirmatory analyses of HEADSTART are mine.</w:t>
      </w:r>
    </w:p>
    <w:p>
      <w:pPr>
        <w:pStyle w:val="BodyText"/>
      </w:pPr>
      <w:r>
        <w:t xml:space="preserve">Prof. Olivia Keiser, my contact person at the Institute, co-built LiteRev with me and leads the legionellosis study, and we work together in GeoAI4EI (Horizon Europe) and on the MAS in Public Health, where I have lectured in statistics and epidemiology since 2024. Prof. Douglas Teodoro leads GESICA and supports the text-mining collaboration of WP1. HEADSTART is my own programme, hosted at the Institute of Global Health and led by me, with the collaborator and the master's student supporting defined technical tasks. By month 48, a validated answer and a first-author record will be the basis for group leadership or a professorship.</w:t>
      </w:r>
    </w:p>
    <w:bookmarkEnd w:id="75"/>
    <w:bookmarkEnd w:id="76"/>
    <w:bookmarkStart w:id="77" w:name="bibliography"/>
    <w:p>
      <w:pPr>
        <w:pStyle w:val="Heading1"/>
      </w:pPr>
      <w:r>
        <w:t xml:space="preserve">Bibliography</w:t>
      </w:r>
    </w:p>
    <w:p>
      <w:pPr>
        <w:numPr>
          <w:ilvl w:val="0"/>
          <w:numId w:val="1001"/>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01"/>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p>
      <w:pPr>
        <w:numPr>
          <w:ilvl w:val="0"/>
          <w:numId w:val="100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1"/>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1"/>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1"/>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1"/>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p>
      <w:pPr>
        <w:numPr>
          <w:ilvl w:val="0"/>
          <w:numId w:val="1001"/>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01"/>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1"/>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01"/>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1"/>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01"/>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1"/>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p>
      <w:pPr>
        <w:numPr>
          <w:ilvl w:val="0"/>
          <w:numId w:val="1001"/>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01"/>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p>
      <w:pPr>
        <w:numPr>
          <w:ilvl w:val="0"/>
          <w:numId w:val="1001"/>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01"/>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p>
      <w:pPr>
        <w:numPr>
          <w:ilvl w:val="0"/>
          <w:numId w:val="1001"/>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01"/>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2026-10-14T19:30:56Z</dcterms:created>
  <dcterms:modified xsi:type="dcterms:W3CDTF">2026-10-14T19:30:56Z</dcterms:modified>
</cp:coreProperties>
</file>

<file path=docProps/custom.xml><?xml version="1.0" encoding="utf-8"?>
<Properties xmlns="http://schemas.openxmlformats.org/officeDocument/2006/custom-properties" xmlns:vt="http://schemas.openxmlformats.org/officeDocument/2006/docPropsVTypes"/>
</file>