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model the demand outcomes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Legionellosis is evaluated separately as a case-count forecast at weekly or monthly resolution. Third, I will replay past events using only the information available at the time and compare the two strategies. Fourth, for the demand tests,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practice.</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or tested on forecasts at the start of a crisis.</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first models from several families, and builds compartmental model parts from published parameter ranges. Evidence updates are reviewed before they are applied. These parts have not yet been validated as one end-to-end forecasting pipeline. In particular, HEADSTART will build and test the historical model-selection step so that it uses only information available at each forecast date.</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median log-ratio of T1.3 closer to zero, which is a spread ratio closer to one, and improves interval coverage at the pre-specified levels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classified by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At month 12 a data check confirms that the chosen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For each parameter class, the main measure for H1 is the median log-ratio of the standard deviations of the automated and manual distributions. A value below zero means the automated distribution is narrower. Uncertainty inside studies and differences between studies are tracked separately and together, and the analysis is repeated for each extraction model version.</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time runs short,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 The daily pressure model serves the respiratory and heat tests. Legionellosis uses its own case-incidence forecast at its weekly or monthly resolution.</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Failing models are set aside. The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classified by the symptoms recorded in the exported data (audio recordings are not used), emergency-department visits by cause, hospital admissions, bed or ICU occupancy.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The causes and population groups used to filter the target come from the evidence. The other candidates serve as extra inputs for the pressure model. Weather, air quality, wastewater, sentinel consultations and calendar effects are context inputs. The design is single-canton on purpose, and transfer is tested across crisis types.</w:t>
      </w:r>
    </w:p>
    <w:p>
      <w:pPr>
        <w:pStyle w:val="BodyText"/>
      </w:pPr>
      <w:r>
        <w:t xml:space="preserve">Choosing the target. The first registration fixes the candidate outcomes, the criteria for choosing among them (access, completeness, cause coding, reporting delay and revisions, time resolution and usefulness for the services), and the eligibility and fallback rules. At month 12 the criteria are applied to the data actually available, and the highest-ranked series that passes this data check becomes the target, recorded before any forecast performance is examined. Once chosen, the target stays fixed, so that no outcome can be picked afterwards because it gives better results, and both strategies are scored on the same target, period and rules. If no local series passes, the work falls back to open Swiss data (federal respiratory surveillance, national wastewater data, weekly deaths and MeteoSwiss weather), with archived multi-model forecasts as comparators [3, 4], to show that the methods work and to release a public benchmark, and the main claim is narrowed. The daily HUG COVID-19 hospitalisation series I analysed before [35] may be requested again as a secondary check, subject to re-access and the required authorisation.</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Second registration. After the month-12 data check and a blinded inventory of the eligible episodes, but before any performance is seen, a second registration fixes the early-episode window N, the main forecast horizon per crisis type and the margin Δ. Horizons follow what the services need, not results.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Pharmacy sales and wastewater data come through the cantonal pharmacist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Both conditions are judged with uncertainty bounds across the registered simulation runs, not on point estimates alone. Non-inferiority holds only if the lower confidence bound of the score difference stays above minus Δ with right evidence. Superiority holds only if that lower bound is above zero with shifted evidence. The confidence level is fixed in the registered protocol.</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forecasts of weekly or monthly case counts on the linked case-environment data. Its time unit and horizon are registered separately, and it is evaluated on its own, outside the comparison of the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demand forecasts are re-assessed on the decisions they would trigger, with net-benefit and decision-curve methods, to see whether the ranking of the models changes once the costs of wrong decisions are counted. The legionellosis case-count test stays outside this decision analysis. Calibration and threshold performance are also checked across age and sex where the selected data and the group sizes allow. A model that is well calibrated overall but poor for a group that matters does not pass. The decision analysis needs a target that is linked to a real service decision. If only open surveillance data are available, the project reports the methodological validation and does not claim to have shown local decision value.</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are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54"/>
        <w:gridCol w:w="2967"/>
        <w:gridCol w:w="2608"/>
        <w:gridCol w:w="2517"/>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series</w:t>
            </w:r>
          </w:p>
        </w:tc>
        <w:tc>
          <w:tcPr/>
          <w:p>
            <w:pPr>
              <w:pStyle w:val="Compact"/>
            </w:pPr>
          </w:p>
        </w:tc>
        <w:tc>
          <w:tcPr/>
          <w:p>
            <w:pPr>
              <w:pStyle w:val="Compact"/>
              <w:jc w:val="left"/>
            </w:pPr>
            <w:r>
              <w:t xml:space="preserve">Daily secondary check series, previously analysed [35]</w:t>
            </w:r>
          </w:p>
        </w:tc>
        <w:tc>
          <w:tcPr/>
          <w:p>
            <w:pPr>
              <w:pStyle w:val="Compact"/>
              <w:jc w:val="left"/>
            </w:pPr>
            <w:r>
              <w:t xml:space="preserve">Re-request planned, subject to availability and authorisation</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check passed, pressure model works on simulated data,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saves modellers and evidence platforms from an assumption that was never tested.</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public health, prediction across settings and collaborative software development. I developed the modelling approach and the LiteRev-Evidence prototype, and contributed to mapping variables and data sources within existing collaborations. HEADSTART turns this experience into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2026-10-15T06:57:21Z</dcterms:created>
  <dcterms:modified xsi:type="dcterms:W3CDTF">2026-10-15T06:57:21Z</dcterms:modified>
</cp:coreProperties>
</file>

<file path=docProps/custom.xml><?xml version="1.0" encoding="utf-8"?>
<Properties xmlns="http://schemas.openxmlformats.org/officeDocument/2006/custom-properties" xmlns:vt="http://schemas.openxmlformats.org/officeDocument/2006/docPropsVTypes"/>
</file>