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Résumé exécutif — Alternatives aux obligations (VZ AP5, 2008–2026)</w:t>
      </w:r>
    </w:p>
    <w:bookmarkStart w:id="43" w:name="Xf7c03c90c87964ab51c84259972892766293f4a"/>
    <w:p>
      <w:pPr>
        <w:pStyle w:val="Heading1"/>
      </w:pPr>
      <w:r>
        <w:t xml:space="preserve">Résumé exécutif — Alternatives aux obligations dans la construction de portefeuille</w:t>
      </w:r>
    </w:p>
    <w:p>
      <w:pPr>
        <w:pStyle w:val="FirstParagraph"/>
      </w:pPr>
      <w:r>
        <w:rPr>
          <w:bCs/>
          <w:b/>
        </w:rPr>
        <w:t xml:space="preserve">Mémoire de master, HEC Lausanne · Réplication du mandat VZ AP5 · CHF, mensuel, rendement</w:t>
      </w:r>
      <w:r>
        <w:rPr>
          <w:bCs/>
          <w:b/>
        </w:rPr>
        <w:t xml:space="preserve"> </w:t>
      </w:r>
      <w:r>
        <w:rPr>
          <w:bCs/>
          <w:b/>
        </w:rPr>
        <w:t xml:space="preserve">total net de frais · 2008–2026</w:t>
      </w:r>
    </w:p>
    <w:p>
      <w:r>
        <w:pict>
          <v:rect style="width:0;height:1.5pt" o:hralign="center" o:hrstd="t" o:hr="t"/>
        </w:pict>
      </w:r>
    </w:p>
    <w:bookmarkStart w:id="20" w:name="problématique-reformulée"/>
    <w:p>
      <w:pPr>
        <w:pStyle w:val="Heading2"/>
      </w:pPr>
      <w:r>
        <w:t xml:space="preserve">Problématique (reformulée)</w:t>
      </w:r>
    </w:p>
    <w:p>
      <w:pPr>
        <w:pStyle w:val="FirstParagraph"/>
      </w:pPr>
      <w:r>
        <w:t xml:space="preserve">Remplacer la</w:t>
      </w:r>
      <w:r>
        <w:t xml:space="preserve"> </w:t>
      </w:r>
      <w:r>
        <w:rPr>
          <w:bCs/>
          <w:b/>
        </w:rPr>
        <w:t xml:space="preserve">poche obligataire</w:t>
      </w:r>
      <w:r>
        <w:t xml:space="preserve"> </w:t>
      </w:r>
      <w:r>
        <w:t xml:space="preserve">du portefeuille VZ AP5 par des actifs alternatifs</w:t>
      </w:r>
      <w:r>
        <w:t xml:space="preserve"> </w:t>
      </w:r>
      <w:r>
        <w:rPr>
          <w:bCs/>
          <w:b/>
        </w:rPr>
        <w:t xml:space="preserve">sur</w:t>
      </w:r>
      <w:r>
        <w:rPr>
          <w:bCs/>
          <w:b/>
        </w:rPr>
        <w:t xml:space="preserve"> </w:t>
      </w:r>
      <w:r>
        <w:rPr>
          <w:bCs/>
          <w:b/>
        </w:rPr>
        <w:t xml:space="preserve">l'ensemble de la période</w:t>
      </w:r>
      <w:r>
        <w:t xml:space="preserve">, puis analyser le résultat</w:t>
      </w:r>
      <w:r>
        <w:t xml:space="preserve"> </w:t>
      </w:r>
      <w:r>
        <w:rPr>
          <w:bCs/>
          <w:b/>
        </w:rPr>
        <w:t xml:space="preserve">régime par régime</w:t>
      </w:r>
      <w:r>
        <w:t xml:space="preserve">. Le problème</w:t>
      </w:r>
      <w:r>
        <w:t xml:space="preserve"> </w:t>
      </w:r>
      <w:r>
        <w:t xml:space="preserve">n'est pas seulement les taux bas : lorsque les taux</w:t>
      </w:r>
      <w:r>
        <w:t xml:space="preserve"> </w:t>
      </w:r>
      <w:r>
        <w:rPr>
          <w:iCs/>
          <w:i/>
        </w:rPr>
        <w:t xml:space="preserve">montent</w:t>
      </w:r>
      <w:r>
        <w:t xml:space="preserve">, les obligations perdent</w:t>
      </w:r>
      <w:r>
        <w:t xml:space="preserve"> </w:t>
      </w:r>
      <w:r>
        <w:t xml:space="preserve">aussi. Lire l'analyse par régime de la BNS supprime le besoin d'un seuil « taux bas »</w:t>
      </w:r>
      <w:r>
        <w:t xml:space="preserve"> </w:t>
      </w:r>
      <w:r>
        <w:t xml:space="preserve">contesté.</w:t>
      </w:r>
    </w:p>
    <w:bookmarkEnd w:id="20"/>
    <w:bookmarkStart w:id="21" w:name="X8d8ceac31ad488ae8548f4ef44381882819bab3"/>
    <w:p>
      <w:pPr>
        <w:pStyle w:val="Heading2"/>
      </w:pPr>
      <w:r>
        <w:t xml:space="preserve">Données (réelles, pas de proxys synthétiques du cœur)</w:t>
      </w:r>
    </w:p>
    <w:p>
      <w:pPr>
        <w:pStyle w:val="FirstParagraph"/>
      </w:pPr>
      <w:r>
        <w:t xml:space="preserve">Indices</w:t>
      </w:r>
      <w:r>
        <w:t xml:space="preserve"> </w:t>
      </w:r>
      <w:r>
        <w:rPr>
          <w:bCs/>
          <w:b/>
        </w:rPr>
        <w:t xml:space="preserve">Bloomberg</w:t>
      </w:r>
      <w:r>
        <w:t xml:space="preserve"> </w:t>
      </w:r>
      <w:r>
        <w:t xml:space="preserve">des composantes</w:t>
      </w:r>
      <w:r>
        <w:t xml:space="preserve"> </w:t>
      </w:r>
      <w:r>
        <w:rPr>
          <w:bCs/>
          <w:b/>
        </w:rPr>
        <w:t xml:space="preserve">exactes</w:t>
      </w:r>
      <w:r>
        <w:t xml:space="preserve"> </w:t>
      </w:r>
      <w:r>
        <w:t xml:space="preserve">du mandat AP5 (VZ Kundendoku, planche 5) :</w:t>
      </w:r>
      <w:r>
        <w:t xml:space="preserve"> </w:t>
      </w:r>
      <w:r>
        <w:t xml:space="preserve">actions suisses</w:t>
      </w:r>
      <w:r>
        <w:t xml:space="preserve"> </w:t>
      </w:r>
      <w:r>
        <w:rPr>
          <w:bCs/>
          <w:b/>
        </w:rPr>
        <w:t xml:space="preserve">SPI 11 / SLI 12 / SPI Extra 2</w:t>
      </w:r>
      <w:r>
        <w:t xml:space="preserve">, actions monde</w:t>
      </w:r>
      <w:r>
        <w:t xml:space="preserve"> </w:t>
      </w:r>
      <w:r>
        <w:rPr>
          <w:bCs/>
          <w:b/>
        </w:rPr>
        <w:t xml:space="preserve">MSCI World 19 / Small 3 /</w:t>
      </w:r>
      <w:r>
        <w:rPr>
          <w:bCs/>
          <w:b/>
        </w:rPr>
        <w:t xml:space="preserve"> </w:t>
      </w:r>
      <w:r>
        <w:rPr>
          <w:bCs/>
          <w:b/>
        </w:rPr>
        <w:t xml:space="preserve">EM 3</w:t>
      </w:r>
      <w:r>
        <w:t xml:space="preserve">, obligations suisses</w:t>
      </w:r>
      <w:r>
        <w:t xml:space="preserve"> </w:t>
      </w:r>
      <w:r>
        <w:rPr>
          <w:bCs/>
          <w:b/>
        </w:rPr>
        <w:t xml:space="preserve">SBI AAA-BBB 10,8 / 1-5 6</w:t>
      </w:r>
      <w:r>
        <w:t xml:space="preserve">, obligations monde</w:t>
      </w:r>
      <w:r>
        <w:t xml:space="preserve"> </w:t>
      </w:r>
      <w:r>
        <w:rPr>
          <w:bCs/>
          <w:b/>
        </w:rPr>
        <w:t xml:space="preserve">Global Aggregate</w:t>
      </w:r>
      <w:r>
        <w:rPr>
          <w:bCs/>
          <w:b/>
        </w:rPr>
        <w:t xml:space="preserve"> </w:t>
      </w:r>
      <w:r>
        <w:rPr>
          <w:bCs/>
          <w:b/>
        </w:rPr>
        <w:t xml:space="preserve">couvert CHF 16,8 / 1-5 8,4</w:t>
      </w:r>
      <w:r>
        <w:t xml:space="preserve">, immobilier SXI 5, liquidités 3. Taux</w:t>
      </w:r>
      <w:r>
        <w:t xml:space="preserve"> </w:t>
      </w:r>
      <w:r>
        <w:rPr>
          <w:bCs/>
          <w:b/>
        </w:rPr>
        <w:t xml:space="preserve">BNS + Fed</w:t>
      </w:r>
      <w:r>
        <w:t xml:space="preserve"> </w:t>
      </w:r>
      <w:r>
        <w:t xml:space="preserve">mensuels et la</w:t>
      </w:r>
      <w:r>
        <w:t xml:space="preserve"> </w:t>
      </w:r>
      <w:r>
        <w:rPr>
          <w:bCs/>
          <w:b/>
        </w:rPr>
        <w:t xml:space="preserve">VNI réelle du produit VZ VVIA</w:t>
      </w:r>
      <w:r>
        <w:t xml:space="preserve">. Frais :</w:t>
      </w:r>
      <w:r>
        <w:t xml:space="preserve"> </w:t>
      </w:r>
      <w:r>
        <w:rPr>
          <w:bCs/>
          <w:b/>
        </w:rPr>
        <w:t xml:space="preserve">0,12 % (produit) + 1,25 % (gestion) = 1,37 %/an</w:t>
      </w:r>
      <w:r>
        <w:t xml:space="preserve">.</w:t>
      </w:r>
      <w:r>
        <w:t xml:space="preserve"> </w:t>
      </w:r>
      <w:r>
        <w:rPr>
          <w:bCs/>
          <w:b/>
        </w:rPr>
        <w:t xml:space="preserve">Poche obligataire = 42 %</w:t>
      </w:r>
      <w:r>
        <w:t xml:space="preserve"> </w:t>
      </w:r>
      <w:r>
        <w:t xml:space="preserve">(suisses 16,8 % + mondiales 25,2 %), conservant sa structure</w:t>
      </w:r>
      <w:r>
        <w:t xml:space="preserve"> </w:t>
      </w:r>
      <w:r>
        <w:t xml:space="preserve">duration longue / courte (1-5).</w:t>
      </w:r>
    </w:p>
    <w:bookmarkEnd w:id="21"/>
    <w:bookmarkStart w:id="22" w:name="X28e7adcb5e06909bae98f1f42cce86a41233687"/>
    <w:p>
      <w:pPr>
        <w:pStyle w:val="Heading2"/>
      </w:pPr>
      <w:r>
        <w:t xml:space="preserve">Validation — un benchmark stylisé (non une réplique exacte)</w:t>
      </w:r>
    </w:p>
    <w:p>
      <w:pPr>
        <w:pStyle w:val="FirstParagraph"/>
      </w:pPr>
      <w:r>
        <w:t xml:space="preserve">Reconstitution de l'AP5 (indices → rebalancement par bandes → net de frais, dérive</w:t>
      </w:r>
      <w:r>
        <w:t xml:space="preserve"> </w:t>
      </w:r>
      <w:r>
        <w:t xml:space="preserve">d'allocation réelle de VZ) contre la</w:t>
      </w:r>
      <w:r>
        <w:t xml:space="preserve"> </w:t>
      </w:r>
      <w:r>
        <w:rPr>
          <w:bCs/>
          <w:b/>
        </w:rPr>
        <w:t xml:space="preserve">VNI réelle du produit VZ</w:t>
      </w:r>
      <w:r>
        <w:t xml:space="preserve">, 2019–2026 :</w:t>
      </w:r>
      <w:r>
        <w:t xml:space="preserve"> </w:t>
      </w:r>
      <w:r>
        <w:rPr>
          <w:bCs/>
          <w:b/>
        </w:rPr>
        <w:t xml:space="preserve">corrélation</w:t>
      </w:r>
      <w:r>
        <w:rPr>
          <w:bCs/>
          <w:b/>
        </w:rPr>
        <w:t xml:space="preserve"> </w:t>
      </w:r>
      <w:r>
        <w:rPr>
          <w:bCs/>
          <w:b/>
        </w:rPr>
        <w:t xml:space="preserve">0,955</w:t>
      </w:r>
      <w:r>
        <w:t xml:space="preserve">, régression</w:t>
      </w:r>
      <w:r>
        <w:t xml:space="preserve"> </w:t>
      </w:r>
      <w:r>
        <w:rPr>
          <w:bCs/>
          <w:b/>
        </w:rPr>
        <w:t xml:space="preserve">β 0,97 / α −0,35 %/an / R² 0,91</w:t>
      </w:r>
      <w:r>
        <w:t xml:space="preserve">,</w:t>
      </w:r>
      <w:r>
        <w:t xml:space="preserve"> </w:t>
      </w:r>
      <w:r>
        <w:rPr>
          <w:bCs/>
          <w:b/>
        </w:rPr>
        <w:t xml:space="preserve">tracking error 2,35 %/an</w:t>
      </w:r>
      <w:r>
        <w:t xml:space="preserve">, écart</w:t>
      </w:r>
      <w:r>
        <w:t xml:space="preserve"> </w:t>
      </w:r>
      <w:r>
        <w:t xml:space="preserve">cumulé +25,1 % vs +21,1 %. La composante actions étrangères (indice de prix USD converti en CHF)</w:t>
      </w:r>
      <w:r>
        <w:t xml:space="preserve"> </w:t>
      </w:r>
      <w:r>
        <w:t xml:space="preserve">constitue une</w:t>
      </w:r>
      <w:r>
        <w:t xml:space="preserve"> </w:t>
      </w:r>
      <w:r>
        <w:rPr>
          <w:bCs/>
          <w:b/>
        </w:rPr>
        <w:t xml:space="preserve">contribution plausible et importante</w:t>
      </w:r>
      <w:r>
        <w:t xml:space="preserve"> </w:t>
      </w:r>
      <w:r>
        <w:t xml:space="preserve">à l'écart résiduel ; ce cœur est commun à tous les portefeuilles comparés,</w:t>
      </w:r>
      <w:r>
        <w:t xml:space="preserve"> </w:t>
      </w:r>
      <w:r>
        <w:t xml:space="preserve">donc son biais est partagé (effet de second ordre sous rebalancement par bandes). On la traite</w:t>
      </w:r>
      <w:r>
        <w:t xml:space="preserve"> </w:t>
      </w:r>
      <w:r>
        <w:t xml:space="preserve">comme un</w:t>
      </w:r>
      <w:r>
        <w:t xml:space="preserve"> </w:t>
      </w:r>
      <w:r>
        <w:rPr>
          <w:bCs/>
          <w:b/>
        </w:rPr>
        <w:t xml:space="preserve">benchmark stylisé</w:t>
      </w:r>
      <w:r>
        <w:t xml:space="preserve">, non une reconstruction exacte des transactions de VZ.</w:t>
      </w:r>
    </w:p>
    <w:bookmarkEnd w:id="22"/>
    <w:bookmarkStart w:id="23" w:name="X1e47f7720494ee2ad9380c7f83dc54fd6e117d5"/>
    <w:p>
      <w:pPr>
        <w:pStyle w:val="Heading2"/>
      </w:pPr>
      <w:r>
        <w:t xml:space="preserve">Le problème obligataire, par régime — la duration compte (fig. 05)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Régime BNS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Oblig. CH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Oblig. CH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Oblig. monde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Oblig. monde 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 2008–14</w:t>
            </w:r>
            <w:r>
              <w:t xml:space="preserve"> </w:t>
            </w:r>
            <w:r>
              <w:t xml:space="preserve">— taux bas positifs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 2015–22</w:t>
            </w:r>
            <w:r>
              <w:t xml:space="preserve"> </w:t>
            </w:r>
            <w:r>
              <w:t xml:space="preserve">— taux négatifs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 2022–24</w:t>
            </w:r>
            <w:r>
              <w:t xml:space="preserve"> </w:t>
            </w:r>
            <w:r>
              <w:t xml:space="preserve">— hausses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 2024–26</w:t>
            </w:r>
            <w:r>
              <w:t xml:space="preserve"> </w:t>
            </w:r>
            <w:r>
              <w:t xml:space="preserve">— assouplissement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+0,6 %</w:t>
            </w:r>
          </w:p>
        </w:tc>
      </w:tr>
    </w:tbl>
    <w:p>
      <w:pPr>
        <w:pStyle w:val="BodyText"/>
      </w:pPr>
      <w:r>
        <w:t xml:space="preserve">Les obligations</w:t>
      </w:r>
      <w:r>
        <w:t xml:space="preserve"> </w:t>
      </w:r>
      <w:r>
        <w:rPr>
          <w:bCs/>
          <w:b/>
        </w:rPr>
        <w:t xml:space="preserve">mondiales larges</w:t>
      </w:r>
      <w:r>
        <w:t xml:space="preserve"> </w:t>
      </w:r>
      <w:r>
        <w:t xml:space="preserve">ont été particulièrement vulnérables au resserrement de</w:t>
      </w:r>
      <w:r>
        <w:t xml:space="preserve"> </w:t>
      </w:r>
      <w:r>
        <w:t xml:space="preserve">2022–24 (</w:t>
      </w:r>
      <w:r>
        <w:rPr>
          <w:bCs/>
          <w:b/>
        </w:rPr>
        <w:t xml:space="preserve">−2,9 %/an en R3</w:t>
      </w:r>
      <w:r>
        <w:t xml:space="preserve">), tandis que les obligations</w:t>
      </w:r>
      <w:r>
        <w:t xml:space="preserve"> </w:t>
      </w:r>
      <w:r>
        <w:rPr>
          <w:bCs/>
          <w:b/>
        </w:rPr>
        <w:t xml:space="preserve">suisses sont restées positives</w:t>
      </w:r>
      <w:r>
        <w:t xml:space="preserve"> </w:t>
      </w:r>
      <w:r>
        <w:t xml:space="preserve">(+1,6 % large, +0,9 % court). En régime négatif (R2) la poche a rapporté légèrement négatif</w:t>
      </w:r>
      <w:r>
        <w:t xml:space="preserve"> </w:t>
      </w:r>
      <w:r>
        <w:t xml:space="preserve">(−0,4 % à −0,7 % selon la tranche). Au sein du volet mondial, la tranche</w:t>
      </w:r>
      <w:r>
        <w:t xml:space="preserve"> </w:t>
      </w:r>
      <w:r>
        <w:rPr>
          <w:bCs/>
          <w:b/>
        </w:rPr>
        <w:t xml:space="preserve">courte (1-5) ne perd</w:t>
      </w:r>
      <w:r>
        <w:rPr>
          <w:bCs/>
          <w:b/>
        </w:rPr>
        <w:t xml:space="preserve"> </w:t>
      </w:r>
      <w:r>
        <w:rPr>
          <w:bCs/>
          <w:b/>
        </w:rPr>
        <w:t xml:space="preserve">que −1,2 %</w:t>
      </w:r>
      <w:r>
        <w:t xml:space="preserve"> </w:t>
      </w:r>
      <w:r>
        <w:t xml:space="preserve">contre −2,9 % pour la large : ces écarts sont</w:t>
      </w:r>
      <w:r>
        <w:t xml:space="preserve"> </w:t>
      </w:r>
      <w:r>
        <w:rPr>
          <w:bCs/>
          <w:b/>
        </w:rPr>
        <w:t xml:space="preserve">cohérents avec un rôle important de la</w:t>
      </w:r>
      <w:r>
        <w:rPr>
          <w:bCs/>
          <w:b/>
        </w:rPr>
        <w:t xml:space="preserve"> </w:t>
      </w:r>
      <w:r>
        <w:rPr>
          <w:bCs/>
          <w:b/>
        </w:rPr>
        <w:t xml:space="preserve">duration comme canal de transmission</w:t>
      </w:r>
      <w:r>
        <w:t xml:space="preserve">. Suisses/mondiales corrélées (</w:t>
      </w:r>
      <w:r>
        <w:rPr>
          <w:bCs/>
          <w:b/>
        </w:rPr>
        <w:t xml:space="preserve">0,79</w:t>
      </w:r>
      <w:r>
        <w:t xml:space="preserve">) mais</w:t>
      </w:r>
      <w:r>
        <w:t xml:space="preserve"> </w:t>
      </w:r>
      <w:r>
        <w:rPr>
          <w:bCs/>
          <w:b/>
        </w:rPr>
        <w:t xml:space="preserve">non redondantes</w:t>
      </w:r>
      <w:r>
        <w:t xml:space="preserve">.</w:t>
      </w:r>
    </w:p>
    <w:bookmarkEnd w:id="23"/>
    <w:bookmarkStart w:id="24" w:name="X969100235d50e2a4b570895ec47c91a4c79d0ce"/>
    <w:p>
      <w:pPr>
        <w:pStyle w:val="Heading2"/>
      </w:pPr>
      <w:r>
        <w:t xml:space="preserve">Le remplacement est-il payant ? — par régime (rendement annualisé net)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2008–14 (oblig. fortes)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remplacement</w:t>
            </w:r>
            <w:r>
              <w:t xml:space="preserve"> </w:t>
            </w:r>
            <w:r>
              <w:rPr>
                <w:bCs/>
                <w:b/>
              </w:rPr>
              <w:t xml:space="preserve">coûte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2015–22 (négatif)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remplacement</w:t>
            </w:r>
            <w:r>
              <w:t xml:space="preserve"> </w:t>
            </w:r>
            <w:r>
              <w:rPr>
                <w:bCs/>
                <w:b/>
              </w:rPr>
              <w:t xml:space="preserve">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2022–24 (hausses)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remplacement</w:t>
            </w:r>
            <w:r>
              <w:t xml:space="preserve"> </w:t>
            </w:r>
            <w:r>
              <w:rPr>
                <w:bCs/>
                <w:b/>
              </w:rPr>
              <w:t xml:space="preserve">coûte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2024–26 (assoupl.)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remplacement</w:t>
            </w:r>
            <w:r>
              <w:t xml:space="preserve"> </w:t>
            </w:r>
            <w:r>
              <w:rPr>
                <w:bCs/>
                <w:b/>
              </w:rPr>
              <w:t xml:space="preserve">gagne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Résultat central — la courbe de compromis</w:t>
      </w:r>
      <w:r>
        <w:t xml:space="preserve"> </w:t>
      </w:r>
      <w:r>
        <w:t xml:space="preserve">: plus on remplace, plus le rendement, la</w:t>
      </w:r>
      <w:r>
        <w:t xml:space="preserve"> </w:t>
      </w:r>
      <w:r>
        <w:t xml:space="preserve">volatilité et le drawdown augmentent, pour un</w:t>
      </w:r>
      <w:r>
        <w:t xml:space="preserve"> </w:t>
      </w:r>
      <w:r>
        <w:rPr>
          <w:bCs/>
          <w:b/>
        </w:rPr>
        <w:t xml:space="preserve">Sharpe quasi plat puis déclinant</w:t>
      </w:r>
      <w:r>
        <w:t xml:space="preserve"> </w:t>
      </w:r>
      <w:r>
        <w:t xml:space="preserve">(CAGR</w:t>
      </w:r>
      <w:r>
        <w:t xml:space="preserve"> </w:t>
      </w:r>
      <w:r>
        <w:t xml:space="preserve">3,55 %→4,28 %, MaxDD −20,4 %→−28,0 %, Sharpe ≈0,48 jusqu'à ~50 % puis 0,46 à 100 %). Sous la</w:t>
      </w:r>
      <w:r>
        <w:t xml:space="preserve"> </w:t>
      </w:r>
      <w:r>
        <w:t xml:space="preserve">spécification par catégorie (primaire), le Sharpe</w:t>
      </w:r>
      <w:r>
        <w:t xml:space="preserve"> </w:t>
      </w:r>
      <w:r>
        <w:rPr>
          <w:bCs/>
          <w:b/>
        </w:rPr>
        <w:t xml:space="preserve">ne dépasse jamais celui de l'AP5</w:t>
      </w:r>
      <w:r>
        <w:t xml:space="preserve"> </w:t>
      </w:r>
      <w:r>
        <w:t xml:space="preserve">: il n'y a</w:t>
      </w:r>
      <w:r>
        <w:t xml:space="preserve"> </w:t>
      </w:r>
      <w:r>
        <w:rPr>
          <w:bCs/>
          <w:b/>
        </w:rPr>
        <w:t xml:space="preserve">pas de pic de Sharpe</w:t>
      </w:r>
      <w:r>
        <w:t xml:space="preserve"> </w:t>
      </w:r>
      <w:r>
        <w:t xml:space="preserve">à remplacement partiel.</w:t>
      </w:r>
    </w:p>
    <w:p>
      <w:pPr>
        <w:pStyle w:val="BodyText"/>
      </w:pPr>
      <w:r>
        <w:rPr>
          <w:bCs/>
          <w:b/>
        </w:rPr>
        <w:t xml:space="preserve">Statistiques (bootstrap par blocs, 3 000 tirages)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aucun</w:t>
      </w:r>
      <w:r>
        <w:t xml:space="preserve"> </w:t>
      </w:r>
      <w:r>
        <w:t xml:space="preserve">niveau de remplacement ne</w:t>
      </w:r>
      <w:r>
        <w:t xml:space="preserve"> </w:t>
      </w:r>
      <w:r>
        <w:t xml:space="preserve">produit un gain de Sharpe distinguable de zéro (IC de ΔSharpe englobent 0 ; P(ΔSharpe&gt;0) ≤ 45 %,</w:t>
      </w:r>
      <w:r>
        <w:t xml:space="preserve"> </w:t>
      </w:r>
      <w:r>
        <w:t xml:space="preserve">soit un léger avantage à l'AP5). Le drawdown penche vers le pire mais son IC à 95 %</w:t>
      </w:r>
      <w:r>
        <w:t xml:space="preserve"> </w:t>
      </w:r>
      <w:r>
        <w:rPr>
          <w:bCs/>
          <w:b/>
        </w:rPr>
        <w:t xml:space="preserve">inclut</w:t>
      </w:r>
      <w:r>
        <w:rPr>
          <w:bCs/>
          <w:b/>
        </w:rPr>
        <w:t xml:space="preserve"> </w:t>
      </w:r>
      <w:r>
        <w:rPr>
          <w:bCs/>
          <w:b/>
        </w:rPr>
        <w:t xml:space="preserve">encore zéro</w:t>
      </w:r>
      <w:r>
        <w:t xml:space="preserve"> </w:t>
      </w:r>
      <w:r>
        <w:t xml:space="preserve">(</w:t>
      </w:r>
      <w:r>
        <w:rPr>
          <w:iCs/>
          <w:i/>
        </w:rPr>
        <w:t xml:space="preserve">suggestif</w:t>
      </w:r>
      <w:r>
        <w:t xml:space="preserve">) ; en revanche la</w:t>
      </w:r>
      <w:r>
        <w:t xml:space="preserve"> </w:t>
      </w:r>
      <w:r>
        <w:rPr>
          <w:bCs/>
          <w:b/>
        </w:rPr>
        <w:t xml:space="preserve">perte extrême (CVaR) est pire avec ≈99–100 % de</w:t>
      </w:r>
      <w:r>
        <w:rPr>
          <w:bCs/>
          <w:b/>
        </w:rPr>
        <w:t xml:space="preserve"> </w:t>
      </w:r>
      <w:r>
        <w:rPr>
          <w:bCs/>
          <w:b/>
        </w:rPr>
        <w:t xml:space="preserve">probabilité</w:t>
      </w:r>
      <w:r>
        <w:t xml:space="preserve"> </w:t>
      </w:r>
      <w:r>
        <w:t xml:space="preserve">dès 20 % de remplacement (</w:t>
      </w:r>
      <w:r>
        <w:rPr>
          <w:iCs/>
          <w:i/>
        </w:rPr>
        <w:t xml:space="preserve">établi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Dépend du type de crise</w:t>
      </w:r>
      <w:r>
        <w:t xml:space="preserve"> </w:t>
      </w:r>
      <w:r>
        <w:t xml:space="preserve">: le remplacement a</w:t>
      </w:r>
      <w:r>
        <w:t xml:space="preserve"> </w:t>
      </w:r>
      <w:r>
        <w:rPr>
          <w:iCs/>
          <w:i/>
        </w:rPr>
        <w:t xml:space="preserve">nui</w:t>
      </w:r>
      <w:r>
        <w:t xml:space="preserve"> </w:t>
      </w:r>
      <w:r>
        <w:t xml:space="preserve">lors du choc déflationniste 2020</w:t>
      </w:r>
      <w:r>
        <w:t xml:space="preserve"> </w:t>
      </w:r>
      <w:r>
        <w:t xml:space="preserve">(−10,3 % vs AP5 −6,1 %) mais</w:t>
      </w:r>
      <w:r>
        <w:t xml:space="preserve"> </w:t>
      </w:r>
      <w:r>
        <w:rPr>
          <w:iCs/>
          <w:i/>
        </w:rPr>
        <w:t xml:space="preserve">aidé</w:t>
      </w:r>
      <w:r>
        <w:t xml:space="preserve"> </w:t>
      </w:r>
      <w:r>
        <w:t xml:space="preserve">lors du choc de taux 2022 (−6,1 % vs −11,7 %).</w:t>
      </w:r>
    </w:p>
    <w:bookmarkEnd w:id="24"/>
    <w:bookmarkStart w:id="25" w:name="recommandation"/>
    <w:p>
      <w:pPr>
        <w:pStyle w:val="Heading2"/>
      </w:pPr>
      <w:r>
        <w:t xml:space="preserve">Recommandation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ne remplace pas « les obligations » mais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une partie de ce qu'elles font</w:t>
      </w:r>
      <w:r>
        <w:t xml:space="preserve"> </w:t>
      </w:r>
      <w:r>
        <w:t xml:space="preserve">(portage,</w:t>
      </w:r>
      <w:r>
        <w:t xml:space="preserve"> </w:t>
      </w:r>
      <w:r>
        <w:t xml:space="preserve">une part de diversification/inflation) —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la duration ni la « fuite vers la qualité »,</w:t>
      </w:r>
      <w:r>
        <w:t xml:space="preserve"> </w:t>
      </w:r>
      <w:r>
        <w:t xml:space="preserve">d'où la dégradation du risque de queue.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Privilégier un remplacement partiel plutôt qu'intégral.</w:t>
      </w:r>
      <w:r>
        <w:t xml:space="preserve"> </w:t>
      </w:r>
      <w:r>
        <w:t xml:space="preserve">Sous la spécification par catégorie,</w:t>
      </w:r>
      <w:r>
        <w:t xml:space="preserve"> </w:t>
      </w:r>
      <w:r>
        <w:t xml:space="preserve">le Sharpe est</w:t>
      </w:r>
      <w:r>
        <w:t xml:space="preserve"> </w:t>
      </w:r>
      <w:r>
        <w:rPr>
          <w:bCs/>
          <w:b/>
        </w:rPr>
        <w:t xml:space="preserve">quasi plat (~0,48) jusqu'à ~50 %</w:t>
      </w:r>
      <w:r>
        <w:t xml:space="preserve"> </w:t>
      </w:r>
      <w:r>
        <w:t xml:space="preserve">puis décline :</w:t>
      </w:r>
      <w:r>
        <w:t xml:space="preserve"> </w:t>
      </w:r>
      <w:r>
        <w:rPr>
          <w:bCs/>
          <w:b/>
        </w:rPr>
        <w:t xml:space="preserve">aucun</w:t>
      </w:r>
      <w:r>
        <w:t xml:space="preserve"> </w:t>
      </w:r>
      <w:r>
        <w:t xml:space="preserve">niveau de</w:t>
      </w:r>
      <w:r>
        <w:t xml:space="preserve"> </w:t>
      </w:r>
      <w:r>
        <w:t xml:space="preserve">remplacement n'améliore le Sharpe de façon fiable, et le point le plus élevé reste l'</w:t>
      </w:r>
      <w:r>
        <w:rPr>
          <w:bCs/>
          <w:b/>
        </w:rPr>
        <w:t xml:space="preserve">AP5</w:t>
      </w:r>
      <w:r>
        <w:t xml:space="preserve">. Un</w:t>
      </w:r>
      <w:r>
        <w:t xml:space="preserve"> </w:t>
      </w:r>
      <w:r>
        <w:t xml:space="preserve">remplacement faible-à-modéré est donc un</w:t>
      </w:r>
      <w:r>
        <w:t xml:space="preserve"> </w:t>
      </w:r>
      <w:r>
        <w:rPr>
          <w:iCs/>
          <w:i/>
        </w:rPr>
        <w:t xml:space="preserve">compromis</w:t>
      </w:r>
      <w:r>
        <w:t xml:space="preserve"> </w:t>
      </w:r>
      <w:r>
        <w:t xml:space="preserve">défendable (plus de rendement à Sharpe</w:t>
      </w:r>
      <w:r>
        <w:t xml:space="preserve"> </w:t>
      </w:r>
      <w:r>
        <w:t xml:space="preserve">quasi constant),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un optimum unique. Le remplacement intégral n'est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soutenu</w:t>
      </w:r>
      <w:r>
        <w:t xml:space="preserve"> </w:t>
      </w:r>
      <w:r>
        <w:t xml:space="preserve">(perte extrême fiablement pire, pas de gain de Sharpe, perte de la protection « fuite vers la</w:t>
      </w:r>
      <w:r>
        <w:t xml:space="preserve"> </w:t>
      </w:r>
      <w:r>
        <w:t xml:space="preserve">qualité » de 2020).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Conserver la structure obligataire</w:t>
      </w:r>
      <w:r>
        <w:t xml:space="preserve"> </w:t>
      </w:r>
      <w:r>
        <w:t xml:space="preserve">(suisses + mondiales, larges + courtes 1-5).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choix des instruments compte</w:t>
      </w:r>
      <w:r>
        <w:t xml:space="preserve"> </w:t>
      </w:r>
      <w:r>
        <w:t xml:space="preserve">: un panier « curated » (HR 35 / dette ém. 30 / or 20 /</w:t>
      </w:r>
      <w:r>
        <w:t xml:space="preserve"> </w:t>
      </w:r>
      <w:r>
        <w:t xml:space="preserve">infra 15) fait mieux (Sharpe 0,52), mais c'est un résultat</w:t>
      </w:r>
      <w:r>
        <w:t xml:space="preserve"> </w:t>
      </w:r>
      <w:r>
        <w:rPr>
          <w:bCs/>
          <w:b/>
        </w:rPr>
        <w:t xml:space="preserve">ex-post exploratoire</w:t>
      </w:r>
      <w:r>
        <w:t xml:space="preserve">, non la</w:t>
      </w:r>
      <w:r>
        <w:t xml:space="preserve"> </w:t>
      </w:r>
      <w:r>
        <w:t xml:space="preserve">recommandation — à valider hors échantillon.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Écartés (avec justification)</w:t>
      </w:r>
      <w:r>
        <w:t xml:space="preserve"> </w:t>
      </w:r>
      <w:r>
        <w:t xml:space="preserve">: ILS, private equity/credit et fonds hypothécaires suisses</w:t>
      </w:r>
      <w:r>
        <w:t xml:space="preserve"> </w:t>
      </w:r>
      <w:r>
        <w:t xml:space="preserve">— aucun ne satisfait le critère</w:t>
      </w:r>
      <w:r>
        <w:t xml:space="preserve"> </w:t>
      </w:r>
      <w:r>
        <w:rPr>
          <w:iCs/>
          <w:i/>
        </w:rPr>
        <w:t xml:space="preserve">investissable / liquide / net de frais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Robustesse</w:t>
      </w:r>
      <w:r>
        <w:t xml:space="preserve"> </w:t>
      </w:r>
      <w:r>
        <w:t xml:space="preserve">: la</w:t>
      </w:r>
      <w:r>
        <w:t xml:space="preserve"> </w:t>
      </w:r>
      <w:r>
        <w:rPr>
          <w:bCs/>
          <w:b/>
        </w:rPr>
        <w:t xml:space="preserve">conclusion principale — le remplacement intégral détériore le risque de</w:t>
      </w:r>
      <w:r>
        <w:rPr>
          <w:bCs/>
          <w:b/>
        </w:rPr>
        <w:t xml:space="preserve"> </w:t>
      </w:r>
      <w:r>
        <w:rPr>
          <w:bCs/>
          <w:b/>
        </w:rPr>
        <w:t xml:space="preserve">queue — reste robuste aux spécifications testées</w:t>
      </w:r>
      <w:r>
        <w:t xml:space="preserve"> </w:t>
      </w:r>
      <w:r>
        <w:t xml:space="preserve">(bande ±5/8/10/15/20 %, coûts 0–50 pb, raccord</w:t>
      </w:r>
      <w:r>
        <w:t xml:space="preserve"> </w:t>
      </w:r>
      <w:r>
        <w:t xml:space="preserve">2008-09, bandes par catégorie vs par constituant). L'</w:t>
      </w:r>
      <w:r>
        <w:rPr>
          <w:bCs/>
          <w:b/>
        </w:rPr>
        <w:t xml:space="preserve">avantage de Sharpe</w:t>
      </w:r>
      <w:r>
        <w:t xml:space="preserve"> </w:t>
      </w:r>
      <w:r>
        <w:t xml:space="preserve">d'un remplacement</w:t>
      </w:r>
      <w:r>
        <w:t xml:space="preserve"> </w:t>
      </w:r>
      <w:r>
        <w:t xml:space="preserve">partiel dépend en revanche de l'</w:t>
      </w:r>
      <w:r>
        <w:rPr>
          <w:bCs/>
          <w:b/>
        </w:rPr>
        <w:t xml:space="preserve">hypothèse de couverture HY/EM</w:t>
      </w:r>
      <w:r>
        <w:t xml:space="preserve"> </w:t>
      </w:r>
      <w:r>
        <w:t xml:space="preserve">(il disparaît sans couverture CHF).</w:t>
      </w:r>
    </w:p>
    <w:bookmarkEnd w:id="25"/>
    <w:bookmarkStart w:id="26" w:name="note-dhonnêteté--annexe"/>
    <w:p>
      <w:pPr>
        <w:pStyle w:val="Heading2"/>
      </w:pPr>
      <w:r>
        <w:t xml:space="preserve">Note d'honnêteté &amp; annexe</w:t>
      </w:r>
    </w:p>
    <w:p>
      <w:pPr>
        <w:pStyle w:val="FirstParagraph"/>
      </w:pPr>
      <w:r>
        <w:t xml:space="preserve">Matières premières (−1,6 %/an) et managed futures (−0,7 %/an) ont</w:t>
      </w:r>
      <w:r>
        <w:t xml:space="preserve"> </w:t>
      </w:r>
      <w:r>
        <w:rPr>
          <w:bCs/>
          <w:b/>
        </w:rPr>
        <w:t xml:space="preserve">perdu de l'argent</w:t>
      </w:r>
      <w:r>
        <w:t xml:space="preserve"> </w:t>
      </w:r>
      <w:r>
        <w:t xml:space="preserve">sur</w:t>
      </w:r>
      <w:r>
        <w:t xml:space="preserve"> </w:t>
      </w:r>
      <w:r>
        <w:t xml:space="preserve">2008–2026 ; le panier naïf les porte à poids égal — rien n'est trié sur le volet. L'optimisation</w:t>
      </w:r>
      <w:r>
        <w:t xml:space="preserve"> </w:t>
      </w:r>
      <w:r>
        <w:t xml:space="preserve">est reléguée en</w:t>
      </w:r>
      <w:r>
        <w:t xml:space="preserve"> </w:t>
      </w:r>
      <w:r>
        <w:rPr>
          <w:bCs/>
          <w:b/>
        </w:rPr>
        <w:t xml:space="preserve">annexe</w:t>
      </w:r>
      <w:r>
        <w:t xml:space="preserve"> </w:t>
      </w:r>
      <w:r>
        <w:t xml:space="preserve">(jugée trop théorique) : même optimisée en échantillon, la poche</w:t>
      </w:r>
      <w:r>
        <w:t xml:space="preserve"> </w:t>
      </w:r>
      <w:r>
        <w:t xml:space="preserve">minimum-variance/CVaR se met</w:t>
      </w:r>
      <w:r>
        <w:t xml:space="preserve"> </w:t>
      </w:r>
      <w:r>
        <w:rPr>
          <w:bCs/>
          <w:b/>
        </w:rPr>
        <w:t xml:space="preserve">100 % en obligations mondiales courtes (1-5)</w:t>
      </w:r>
      <w:r>
        <w:t xml:space="preserve"> </w:t>
      </w:r>
      <w:r>
        <w:t xml:space="preserve">et la poche</w:t>
      </w:r>
      <w:r>
        <w:t xml:space="preserve"> </w:t>
      </w:r>
      <w:r>
        <w:t xml:space="preserve">max-Sharpe conserve des obligations suisses + une allocation en or plafonnée —</w:t>
      </w:r>
      <w:r>
        <w:t xml:space="preserve"> </w:t>
      </w:r>
      <w:r>
        <w:rPr>
          <w:bCs/>
          <w:b/>
        </w:rPr>
        <w:t xml:space="preserve">aucun</w:t>
      </w:r>
      <w:r>
        <w:rPr>
          <w:bCs/>
          <w:b/>
        </w:rPr>
        <w:t xml:space="preserve"> </w:t>
      </w:r>
      <w:r>
        <w:rPr>
          <w:bCs/>
          <w:b/>
        </w:rPr>
        <w:t xml:space="preserve">optimiseur n'abandonne les obligations</w:t>
      </w:r>
      <w:r>
        <w:t xml:space="preserve">. Proxys ETF/fonds investissables (non les fonds VZ exacts) ; fréquence</w:t>
      </w:r>
      <w:r>
        <w:t xml:space="preserve"> </w:t>
      </w:r>
      <w:r>
        <w:t xml:space="preserve">mensuelle ; un seul chemin historique. Reproduction académique, pas un conseil en placement.</w:t>
      </w:r>
    </w:p>
    <w:p>
      <w:pPr>
        <w:pStyle w:val="BodyText"/>
      </w:pPr>
      <w:r>
        <w:t xml:space="preserve">\newpage</w:t>
      </w:r>
    </w:p>
    <w:bookmarkEnd w:id="26"/>
    <w:bookmarkStart w:id="42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Cs/>
          <w:b/>
        </w:rPr>
        <w:t xml:space="preserve">Figure 1 — Rendement total cumulé en CHF, net de frais (2008–2026).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1_rendement_cumu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 — Validation : AP5 reconstitué vs performance réelle VZ.</w:t>
      </w:r>
    </w:p>
    <w:p>
      <w:pPr>
        <w:pStyle w:val="BodyText"/>
      </w:pPr>
      <w:r>
        <w:drawing>
          <wp:inline>
            <wp:extent cx="5334000" cy="28447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2_valid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 — Rendement annualisé par régime de taux (BNS).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4_rendement_par_regim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4 — Comportement de la poche obligataire par régime.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5_obligations_par_regi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5 — Panier curated vs naïf (100 % remplacé).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8_curated_vs_naif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exécutif — Alternatives aux obligations (VZ AP5, 2008–2026)</dc:title>
  <dc:creator/>
  <cp:keywords/>
  <dcterms:created xsi:type="dcterms:W3CDTF">2026-08-16T21:11:02Z</dcterms:created>
  <dcterms:modified xsi:type="dcterms:W3CDTF">2026-08-16T21:11:02Z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