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 global — vue d'ensemble du projet (VZ AP5, 2008–2026)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guide-global--vue-densemble-du-projet"/>
    <w:p>
      <w:pPr>
        <w:pStyle w:val="Heading1"/>
      </w:pPr>
      <w:r>
        <w:t xml:space="preserve">Guide global — vue d'ensemble du projet</w:t>
      </w:r>
    </w:p>
    <w:p>
      <w:pPr>
        <w:pStyle w:val="FirstParagraph"/>
      </w:pPr>
      <w:r>
        <w:rPr>
          <w:bCs/>
          <w:b/>
        </w:rPr>
        <w:t xml:space="preserve">Mémoire VZ AP5 · « Alternatives aux obligations » · CHF, mensuel, net de frais ·</w:t>
      </w:r>
      <w:r>
        <w:rPr>
          <w:bCs/>
          <w:b/>
        </w:rPr>
        <w:t xml:space="preserve"> </w:t>
      </w:r>
      <w:r>
        <w:rPr>
          <w:bCs/>
          <w:b/>
        </w:rPr>
        <w:t xml:space="preserve">février 2008 – juin 2026</w:t>
      </w:r>
    </w:p>
    <w:p>
      <w:pPr>
        <w:pStyle w:val="BlockText"/>
      </w:pPr>
      <w:r>
        <w:t xml:space="preserve">Ce guide donne une</w:t>
      </w:r>
      <w:r>
        <w:t xml:space="preserve"> </w:t>
      </w:r>
      <w:r>
        <w:rPr>
          <w:bCs/>
          <w:b/>
        </w:rPr>
        <w:t xml:space="preserve">vue d'ensemble</w:t>
      </w:r>
      <w:r>
        <w:t xml:space="preserve"> </w:t>
      </w:r>
      <w:r>
        <w:t xml:space="preserve">du travail : l'objectif, la méthode, les résultats</w:t>
      </w:r>
      <w:r>
        <w:t xml:space="preserve"> </w:t>
      </w:r>
      <w:r>
        <w:t xml:space="preserve">principaux, et la carte des documents du projet. Il se lit seul, sans connaissance financière</w:t>
      </w:r>
      <w:r>
        <w:t xml:space="preserve"> </w:t>
      </w:r>
      <w:r>
        <w:t xml:space="preserve">préalable — chaque terme technique est défini une fois. La</w:t>
      </w:r>
      <w:r>
        <w:t xml:space="preserve"> </w:t>
      </w:r>
      <w:r>
        <w:rPr>
          <w:bCs/>
          <w:b/>
        </w:rPr>
        <w:t xml:space="preserve">source unique</w:t>
      </w:r>
      <w:r>
        <w:t xml:space="preserve"> </w:t>
      </w:r>
      <w:r>
        <w:t xml:space="preserve">des chiffres est</w:t>
      </w:r>
      <w:r>
        <w:t xml:space="preserve"> </w:t>
      </w:r>
      <w:r>
        <w:rPr>
          <w:rStyle w:val="VerbatimChar"/>
        </w:rPr>
        <w:t xml:space="preserve">analysis/results_manifest.json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f73763994ed665b48d8887d664df688d49335fd"/>
    <w:p>
      <w:pPr>
        <w:pStyle w:val="Heading2"/>
      </w:pPr>
      <w:r>
        <w:t xml:space="preserve">1. Objectif et questions</w:t>
      </w:r>
    </w:p>
    <w:p>
      <w:pPr>
        <w:pStyle w:val="FirstParagraph"/>
      </w:pPr>
      <w:r>
        <w:rPr>
          <w:bCs/>
          <w:b/>
        </w:rPr>
        <w:t xml:space="preserve">Objectif (une phrase).</w:t>
      </w:r>
      <w:r>
        <w:t xml:space="preserve"> </w:t>
      </w:r>
      <w:r>
        <w:t xml:space="preserve">Déterminer si les</w:t>
      </w:r>
      <w:r>
        <w:t xml:space="preserve"> </w:t>
      </w:r>
      <w:r>
        <w:rPr>
          <w:bCs/>
          <w:b/>
        </w:rPr>
        <w:t xml:space="preserve">42 % d'obligations</w:t>
      </w:r>
      <w:r>
        <w:t xml:space="preserve"> </w:t>
      </w:r>
      <w:r>
        <w:t xml:space="preserve">du portefeuille VZ</w:t>
      </w:r>
      <w:r>
        <w:t xml:space="preserve"> </w:t>
      </w:r>
      <w:r>
        <w:rPr>
          <w:bCs/>
          <w:b/>
        </w:rPr>
        <w:t xml:space="preserve">AP5</w:t>
      </w:r>
      <w:r>
        <w:t xml:space="preserve"> </w:t>
      </w:r>
      <w:r>
        <w:t xml:space="preserve">peuvent être remplacés par d'autres placements, et</w:t>
      </w:r>
      <w:r>
        <w:t xml:space="preserve"> </w:t>
      </w:r>
      <w:r>
        <w:rPr>
          <w:bCs/>
          <w:b/>
        </w:rPr>
        <w:t xml:space="preserve">à quel prix en risque</w:t>
      </w:r>
      <w:r>
        <w:t xml:space="preserve">, sur la période</w:t>
      </w:r>
      <w:r>
        <w:t xml:space="preserve"> </w:t>
      </w:r>
      <w:r>
        <w:t xml:space="preserve">2008–2026.</w:t>
      </w:r>
    </w:p>
    <w:p>
      <w:pPr>
        <w:pStyle w:val="BodyText"/>
      </w:pPr>
      <w:r>
        <w:t xml:space="preserve">Le problème : les obligations rapportent peu depuis des années, et quand les taux</w:t>
      </w:r>
      <w:r>
        <w:t xml:space="preserve"> </w:t>
      </w:r>
      <w:r>
        <w:rPr>
          <w:bCs/>
          <w:b/>
        </w:rPr>
        <w:t xml:space="preserve">montent</w:t>
      </w:r>
      <w:r>
        <w:t xml:space="preserve"> </w:t>
      </w:r>
      <w:r>
        <w:t xml:space="preserve">(comme en 2022), elles perdent de la valeur. On se demande donc s'il vaut mieux en remplacer une</w:t>
      </w:r>
      <w:r>
        <w:t xml:space="preserve"> </w:t>
      </w:r>
      <w:r>
        <w:t xml:space="preserve">partie par autre chose.</w:t>
      </w:r>
    </w:p>
    <w:p>
      <w:pPr>
        <w:pStyle w:val="BodyText"/>
      </w:pPr>
      <w:r>
        <w:t xml:space="preserve">L'étude répond à</w:t>
      </w:r>
      <w:r>
        <w:t xml:space="preserve"> </w:t>
      </w:r>
      <w:r>
        <w:rPr>
          <w:bCs/>
          <w:b/>
        </w:rPr>
        <w:t xml:space="preserve">trois questions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Rendement</w:t>
      </w:r>
      <w:r>
        <w:t xml:space="preserve"> </w:t>
      </w:r>
      <w:r>
        <w:t xml:space="preserve">— remplacer les obligations change-t-il le rendement à long terme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Risque</w:t>
      </w:r>
      <w:r>
        <w:t xml:space="preserve"> </w:t>
      </w:r>
      <w:r>
        <w:t xml:space="preserve">— cela change-t-il le risque, surtout les grosses pertes (baisses profondes et</w:t>
      </w:r>
      <w:r>
        <w:t xml:space="preserve"> </w:t>
      </w:r>
      <w:r>
        <w:t xml:space="preserve">pertes extrêmes)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Régime</w:t>
      </w:r>
      <w:r>
        <w:t xml:space="preserve"> </w:t>
      </w:r>
      <w:r>
        <w:t xml:space="preserve">— la réponse dépend-elle de l'environnement de taux (politique de la BNS) ?</w:t>
      </w:r>
    </w:p>
    <w:p>
      <w:pPr>
        <w:pStyle w:val="FirstParagraph"/>
      </w:pPr>
      <w:r>
        <w:t xml:space="preserve">La question « partiel ou intégral ? » est traitée comme une</w:t>
      </w:r>
      <w:r>
        <w:t xml:space="preserve"> </w:t>
      </w:r>
      <w:r>
        <w:rPr>
          <w:bCs/>
          <w:b/>
        </w:rPr>
        <w:t xml:space="preserve">recommandation</w:t>
      </w:r>
      <w:r>
        <w:t xml:space="preserve">, non comme une</w:t>
      </w:r>
      <w:r>
        <w:t xml:space="preserve"> </w:t>
      </w:r>
      <w:r>
        <w:t xml:space="preserve">quatrième hypothèse.</w:t>
      </w:r>
    </w:p>
    <w:bookmarkEnd w:id="20"/>
    <w:bookmarkStart w:id="21" w:name="X498a24f51d27fe305a7d9ec15bdb696d9084fb0"/>
    <w:p>
      <w:pPr>
        <w:pStyle w:val="Heading2"/>
      </w:pPr>
      <w:r>
        <w:t xml:space="preserve">2. Quelques définitions utiles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courte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panier de placements dans certaines proportions.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part d'entreprise ; rapporte beaucoup mais varie fort.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prêt à un État/entreprise ; verse un intérêt régulier, moins risqué.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AP5 / VVIA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produit VZ étudié (« profil 5 ») : ≈50 % actions, 42 % obligations, 5 % immobilier, 3 % liquidités.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Rendement (CAGR)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gain moyen par 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Volatilité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quel point la valeur bouge (haut = instable).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 perte (drawdown)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plus grosse baisse depuis un sommet.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Perte extrême (CVaR)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perte moyenne dans les 5 % de mois les pires.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rendement</w:t>
            </w:r>
            <w:r>
              <w:t xml:space="preserve"> </w:t>
            </w:r>
            <w:r>
              <w:rPr>
                <w:bCs/>
                <w:b/>
              </w:rPr>
              <w:t xml:space="preserve">rapporté au risque</w:t>
            </w:r>
            <w:r>
              <w:t xml:space="preserve"> </w:t>
            </w:r>
            <w:r>
              <w:t xml:space="preserve">; plus il est haut, mieux c'est.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de frais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déduction des frais (1,37 %/an appliqués à tous).</w:t>
            </w:r>
          </w:p>
        </w:tc>
      </w:tr>
    </w:tbl>
    <w:bookmarkEnd w:id="21"/>
    <w:bookmarkStart w:id="22" w:name="X2de784b141676d1e5d3a7cc88d3a8316ffb4eaf"/>
    <w:p>
      <w:pPr>
        <w:pStyle w:val="Heading2"/>
      </w:pPr>
      <w:r>
        <w:t xml:space="preserve">3. Comment lire les chiffres</w:t>
      </w:r>
    </w:p>
    <w:p>
      <w:pPr>
        <w:pStyle w:val="FirstParagraph"/>
      </w:pPr>
      <w:r>
        <w:t xml:space="preserve">Pour chaque portefeuille, on regarde toujours les mêmes mesures : rendement, volatilité, pire</w:t>
      </w:r>
      <w:r>
        <w:t xml:space="preserve"> </w:t>
      </w:r>
      <w:r>
        <w:t xml:space="preserve">perte, perte extrême, et surtout le</w:t>
      </w:r>
      <w:r>
        <w:t xml:space="preserve"> </w:t>
      </w:r>
      <w:r>
        <w:rPr>
          <w:bCs/>
          <w:b/>
        </w:rPr>
        <w:t xml:space="preserve">Sharpe</w:t>
      </w:r>
      <w:r>
        <w:t xml:space="preserve">. Le Sharpe est le chiffre décisif : deux</w:t>
      </w:r>
      <w:r>
        <w:t xml:space="preserve"> </w:t>
      </w:r>
      <w:r>
        <w:t xml:space="preserve">portefeuilles peuvent rapporter autant, mais celui au</w:t>
      </w:r>
      <w:r>
        <w:t xml:space="preserve"> </w:t>
      </w:r>
      <w:r>
        <w:rPr>
          <w:bCs/>
          <w:b/>
        </w:rPr>
        <w:t xml:space="preserve">Sharpe le plus élevé</w:t>
      </w:r>
      <w:r>
        <w:t xml:space="preserve"> </w:t>
      </w:r>
      <w:r>
        <w:t xml:space="preserve">y parvient avec</w:t>
      </w:r>
      <w:r>
        <w:t xml:space="preserve"> </w:t>
      </w:r>
      <w:r>
        <w:rPr>
          <w:bCs/>
          <w:b/>
        </w:rPr>
        <w:t xml:space="preserve">moins de risque</w:t>
      </w:r>
      <w:r>
        <w:t xml:space="preserve">. Gagner plus en prenant beaucoup plus de risque n'est donc pas « mieux » — le</w:t>
      </w:r>
      <w:r>
        <w:t xml:space="preserve"> </w:t>
      </w:r>
      <w:r>
        <w:t xml:space="preserve">Sharpe corrige exactement pour cela.</w:t>
      </w:r>
    </w:p>
    <w:bookmarkEnd w:id="22"/>
    <w:bookmarkStart w:id="23" w:name="X9f0007c527cddd76000600aee33142da00012dc"/>
    <w:p>
      <w:pPr>
        <w:pStyle w:val="Heading2"/>
      </w:pPr>
      <w:r>
        <w:t xml:space="preserve">4. Le travail réalisé, étape par étape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a été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Récupérer les vrais indices Bloomberg du portefeuille, en CHF, mensuels, 2008–2026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Travailler sur le vrai portefeuille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Assembler l'AP5 avec les poids exacts de la fiche VZ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la 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Comparer au vrai produit VZ (corrélation 0,95, tracking error 2,4 %)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Prouver que la copie est fidèle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Candidats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Retenir 6 alternatives investissables ; écarter les autres avec raisons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défendable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Appliquer 1,37 %/an à tous les portefeuilles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Comparaison honnête, après frais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Rééquilibrage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Imiter le rééquilibrage par bandes de VZ (±8 %, par catégorie)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Reproduire le vrai fonctionnement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Paliers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Remplacer les obligations par doses de 10 % (0 → 100 %)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une courbe, pas des points isolés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Mesures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Rendement + risque pour chaque palier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Juger le compromis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Régimes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Découper en 4 régimes de taux BNS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Répondre à la question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Robustesse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Refaire en changeant les hypothèses + bootstrap (3 000 rejeux)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la solidité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Crises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Comparer 2020 (COVID) et 2022 (choc de taux)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Montrer la nature du risque</w:t>
            </w:r>
          </w:p>
        </w:tc>
      </w:tr>
    </w:tbl>
    <w:bookmarkEnd w:id="23"/>
    <w:bookmarkStart w:id="24" w:name="X2647dca820eca44977a80120b2ae59b6d161123"/>
    <w:p>
      <w:pPr>
        <w:pStyle w:val="Heading2"/>
      </w:pPr>
      <w:r>
        <w:t xml:space="preserve">5. Les trois façons de remplacer (le cœur des résultats)</w:t>
      </w:r>
    </w:p>
    <w:p>
      <w:pPr>
        <w:pStyle w:val="FirstParagraph"/>
      </w:pPr>
      <w:r>
        <w:rPr>
          <w:bCs/>
          <w:b/>
        </w:rPr>
        <w:t xml:space="preserve">Approche A — une seule alternative à la fois.</w:t>
      </w:r>
      <w:r>
        <w:t xml:space="preserve"> </w:t>
      </w:r>
      <w:r>
        <w:t xml:space="preserve">On remplace toutes les obligations par un seul</w:t>
      </w:r>
      <w:r>
        <w:t xml:space="preserve"> </w:t>
      </w:r>
      <w:r>
        <w:t xml:space="preserve">placement. Résultat :</w:t>
      </w:r>
      <w:r>
        <w:t xml:space="preserve"> </w:t>
      </w:r>
      <w:r>
        <w:rPr>
          <w:bCs/>
          <w:b/>
        </w:rPr>
        <w:t xml:space="preserve">seul l'or</w:t>
      </w:r>
      <w:r>
        <w:t xml:space="preserve">, isolé, fait mieux que l'AP5 (Sharpe 0,60 contre 0,48). Le</w:t>
      </w:r>
      <w:r>
        <w:t xml:space="preserve"> </w:t>
      </w:r>
      <w:r>
        <w:t xml:space="preserve">haut rendement et la dette émergente font pareil que l'AP5 mais avec de plus grosses chutes. Les</w:t>
      </w:r>
      <w:r>
        <w:t xml:space="preserve"> </w:t>
      </w:r>
      <w:r>
        <w:t xml:space="preserve">matières premières et les managed futures ont</w:t>
      </w:r>
      <w:r>
        <w:t xml:space="preserve"> </w:t>
      </w:r>
      <w:r>
        <w:rPr>
          <w:bCs/>
          <w:b/>
        </w:rPr>
        <w:t xml:space="preserve">perdu de l'argent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Approche B — un mélange.</w:t>
      </w:r>
      <w:r>
        <w:t xml:space="preserve"> </w:t>
      </w:r>
      <w:r>
        <w:t xml:space="preserve">Mettre 42 % sur un seul actif est dangereux. On mélange donc. Mais un</w:t>
      </w:r>
      <w:r>
        <w:t xml:space="preserve"> </w:t>
      </w:r>
      <w:r>
        <w:t xml:space="preserve">mélange</w:t>
      </w:r>
      <w:r>
        <w:t xml:space="preserve"> </w:t>
      </w:r>
      <w:r>
        <w:rPr>
          <w:bCs/>
          <w:b/>
        </w:rPr>
        <w:t xml:space="preserve">équipondéré</w:t>
      </w:r>
      <w:r>
        <w:t xml:space="preserve"> </w:t>
      </w:r>
      <w:r>
        <w:t xml:space="preserve">(parts égales) donne un Sharpe de</w:t>
      </w:r>
      <w:r>
        <w:t xml:space="preserve"> </w:t>
      </w:r>
      <w:r>
        <w:rPr>
          <w:bCs/>
          <w:b/>
        </w:rPr>
        <w:t xml:space="preserve">0,46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moins bien que l'AP5</w:t>
      </w:r>
      <w:r>
        <w:t xml:space="preserve">, car il</w:t>
      </w:r>
      <w:r>
        <w:t xml:space="preserve"> </w:t>
      </w:r>
      <w:r>
        <w:t xml:space="preserve">inclut les deux perdants. Un mélange</w:t>
      </w:r>
      <w:r>
        <w:t xml:space="preserve"> </w:t>
      </w:r>
      <w:r>
        <w:rPr>
          <w:bCs/>
          <w:b/>
        </w:rPr>
        <w:t xml:space="preserve">trié</w:t>
      </w:r>
      <w:r>
        <w:t xml:space="preserve"> </w:t>
      </w:r>
      <w:r>
        <w:t xml:space="preserve">(haut rendement 35 %, dette émergente 30 %, or 20 %,</w:t>
      </w:r>
      <w:r>
        <w:t xml:space="preserve"> </w:t>
      </w:r>
      <w:r>
        <w:t xml:space="preserve">infrastructures 15 %), qui écarte les perdants, remonte à</w:t>
      </w:r>
      <w:r>
        <w:t xml:space="preserve"> </w:t>
      </w:r>
      <w:r>
        <w:rPr>
          <w:bCs/>
          <w:b/>
        </w:rPr>
        <w:t xml:space="preserve">0,52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Approche C — allocation optimisée.</w:t>
      </w:r>
      <w:r>
        <w:t xml:space="preserve"> </w:t>
      </w:r>
      <w:r>
        <w:t xml:space="preserve">Un optimiseur libre de tout choisir</w:t>
      </w:r>
      <w:r>
        <w:t xml:space="preserve"> </w:t>
      </w:r>
      <w:r>
        <w:rPr>
          <w:bCs/>
          <w:b/>
        </w:rPr>
        <w:t xml:space="preserve">garde la plupart des</w:t>
      </w:r>
      <w:r>
        <w:rPr>
          <w:bCs/>
          <w:b/>
        </w:rPr>
        <w:t xml:space="preserve"> </w:t>
      </w:r>
      <w:r>
        <w:rPr>
          <w:bCs/>
          <w:b/>
        </w:rPr>
        <w:t xml:space="preserve">obligations</w:t>
      </w:r>
      <w:r>
        <w:t xml:space="preserve"> </w:t>
      </w:r>
      <w:r>
        <w:t xml:space="preserve">et n'ajoute qu'un peu d'or. Il ne remplace jamais tout.</w:t>
      </w:r>
    </w:p>
    <w:p>
      <w:pPr>
        <w:pStyle w:val="BodyText"/>
      </w:pPr>
      <w:r>
        <w:rPr>
          <w:bCs/>
          <w:b/>
        </w:rPr>
        <w:t xml:space="preserve">Benchmarks de contrôle.</w:t>
      </w:r>
      <w:r>
        <w:t xml:space="preserve"> </w:t>
      </w:r>
      <w:r>
        <w:t xml:space="preserve">Trois portefeuilles de comparaison ferment les objections naturelles :</w:t>
      </w:r>
      <w:r>
        <w:t xml:space="preserve"> </w:t>
      </w:r>
      <w:r>
        <w:t xml:space="preserve">remplacer les obligations par de simples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donne un Sharpe légèrement supérieur au mix</w:t>
      </w:r>
      <w:r>
        <w:t xml:space="preserve"> </w:t>
      </w:r>
      <w:r>
        <w:t xml:space="preserve">d'alternatives (0,50 contre 0,46) — le surplus de rendement des alternatives est donc surtout du</w:t>
      </w:r>
      <w:r>
        <w:t xml:space="preserve"> </w:t>
      </w:r>
      <w:r>
        <w:t xml:space="preserve">risque de marché ; remplacer par du</w:t>
      </w:r>
      <w:r>
        <w:t xml:space="preserve"> </w:t>
      </w:r>
      <w:r>
        <w:rPr>
          <w:bCs/>
          <w:b/>
        </w:rPr>
        <w:t xml:space="preserve">cash</w:t>
      </w:r>
      <w:r>
        <w:t xml:space="preserve"> </w:t>
      </w:r>
      <w:r>
        <w:t xml:space="preserve">fait moins bien (0,43) ; et remplacer</w:t>
      </w:r>
      <w:r>
        <w:t xml:space="preserve"> </w:t>
      </w:r>
      <w:r>
        <w:rPr>
          <w:bCs/>
          <w:b/>
        </w:rPr>
        <w:t xml:space="preserve">seulement les</w:t>
      </w:r>
      <w:r>
        <w:rPr>
          <w:bCs/>
          <w:b/>
        </w:rPr>
        <w:t xml:space="preserve"> </w:t>
      </w:r>
      <w:r>
        <w:rPr>
          <w:bCs/>
          <w:b/>
        </w:rPr>
        <w:t xml:space="preserve">obligations mondiales</w:t>
      </w:r>
      <w:r>
        <w:t xml:space="preserve"> </w:t>
      </w:r>
      <w:r>
        <w:t xml:space="preserve">(en gardant les suisses) préserve le Sharpe de l'AP5 avec un downside moins</w:t>
      </w:r>
      <w:r>
        <w:t xml:space="preserve"> </w:t>
      </w:r>
      <w:r>
        <w:t xml:space="preserve">dégradé — le compromis le plus défendable si l'on tient à remplacer.</w:t>
      </w:r>
    </w:p>
    <w:p>
      <w:pPr>
        <w:pStyle w:val="BlockText"/>
      </w:pPr>
      <w:r>
        <w:t xml:space="preserve">Trois méthodes différentes disent la même chose : garder les obligations, ajouter au plus un</w:t>
      </w:r>
      <w:r>
        <w:t xml:space="preserve"> </w:t>
      </w:r>
      <w:r>
        <w:t xml:space="preserve">peu d'or.</w:t>
      </w:r>
    </w:p>
    <w:bookmarkEnd w:id="24"/>
    <w:bookmarkStart w:id="25" w:name="Xaae82a574aba3c941aa8e58d069753b957ed251"/>
    <w:p>
      <w:pPr>
        <w:pStyle w:val="Heading2"/>
      </w:pPr>
      <w:r>
        <w:t xml:space="preserve">6. La conclusion</w:t>
      </w:r>
    </w:p>
    <w:p>
      <w:pPr>
        <w:pStyle w:val="BlockText"/>
      </w:pPr>
      <w:r>
        <w:rPr>
          <w:bCs/>
          <w:b/>
        </w:rPr>
        <w:t xml:space="preserve">Remplacer les obligations augmente le rendement, mais augmente aussi la volatilité et les</w:t>
      </w:r>
      <w:r>
        <w:rPr>
          <w:bCs/>
          <w:b/>
        </w:rPr>
        <w:t xml:space="preserve"> </w:t>
      </w:r>
      <w:r>
        <w:rPr>
          <w:bCs/>
          <w:b/>
        </w:rPr>
        <w:t xml:space="preserve">pertes extrêmes, sans amélioration fiable du rendement ajusté au risque.</w:t>
      </w:r>
    </w:p>
    <w:p>
      <w:pPr>
        <w:pStyle w:val="FirstParagraph"/>
      </w:pPr>
      <w:r>
        <w:t xml:space="preserve">Ce n'est donc pas la découverte d'un actif « meilleur » que les obligations : c'est un</w:t>
      </w:r>
      <w:r>
        <w:t xml:space="preserve"> </w:t>
      </w:r>
      <w:r>
        <w:rPr>
          <w:bCs/>
          <w:b/>
        </w:rPr>
        <w:t xml:space="preserve">choix de</w:t>
      </w:r>
      <w:r>
        <w:rPr>
          <w:bCs/>
          <w:b/>
        </w:rPr>
        <w:t xml:space="preserve"> </w:t>
      </w:r>
      <w:r>
        <w:rPr>
          <w:bCs/>
          <w:b/>
        </w:rPr>
        <w:t xml:space="preserve">budget de risque</w:t>
      </w:r>
      <w:r>
        <w:t xml:space="preserve">. Concrètement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 pas remplacer les obligations en totalité</w:t>
      </w:r>
      <w:r>
        <w:t xml:space="preserve"> </w:t>
      </w:r>
      <w:r>
        <w:t xml:space="preserve">: cela aggrave les grosses pertes sans meilleur</w:t>
      </w:r>
      <w:r>
        <w:t xml:space="preserve"> </w:t>
      </w:r>
      <w:r>
        <w:t xml:space="preserve">Sharpe, et retire la protection de type 2020.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 seul ajout utile</w:t>
      </w:r>
      <w:r>
        <w:t xml:space="preserve"> </w:t>
      </w:r>
      <w:r>
        <w:t xml:space="preserve">historiquement est</w:t>
      </w:r>
      <w:r>
        <w:t xml:space="preserve"> </w:t>
      </w:r>
      <w:r>
        <w:rPr>
          <w:bCs/>
          <w:b/>
        </w:rPr>
        <w:t xml:space="preserve">un peu d'or, à côté des obligations</w:t>
      </w:r>
      <w:r>
        <w:t xml:space="preserve"> </w:t>
      </w:r>
      <w:r>
        <w:t xml:space="preserve">— et encore,</w:t>
      </w:r>
      <w:r>
        <w:t xml:space="preserve"> </w:t>
      </w:r>
      <w:r>
        <w:t xml:space="preserve">c'est un pari concentré sur une période favorable à l'or, à stresser avant tout usage.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Conserver la structure obligataire</w:t>
      </w:r>
      <w:r>
        <w:t xml:space="preserve"> </w:t>
      </w:r>
      <w:r>
        <w:t xml:space="preserve">(suisses + mondiales, longues + courtes) : elles ne sont</w:t>
      </w:r>
      <w:r>
        <w:t xml:space="preserve"> </w:t>
      </w:r>
      <w:r>
        <w:t xml:space="preserve">pas redondantes.</w:t>
      </w:r>
    </w:p>
    <w:bookmarkEnd w:id="25"/>
    <w:bookmarkStart w:id="26" w:name="Xab668e42ddf2a11e7ec729ea05baaa08ccd3597"/>
    <w:p>
      <w:pPr>
        <w:pStyle w:val="Heading2"/>
      </w:pPr>
      <w:r>
        <w:t xml:space="preserve">7. Les documents du projet (carte de lecture)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Thèse (version principale)</w:t>
            </w:r>
            <w:r>
              <w:t xml:space="preserve"> </w:t>
            </w:r>
            <w:r>
              <w:rPr>
                <w:rStyle w:val="VerbatimChar"/>
              </w:rPr>
              <w:t xml:space="preserve">reports/these_principale_FR.md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L'analyse complète : structure, candidats un par un, tableaux, figures, recommandation.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Résultats complets</w:t>
            </w:r>
            <w:r>
              <w:t xml:space="preserve"> </w:t>
            </w:r>
            <w:r>
              <w:rPr>
                <w:rStyle w:val="VerbatimChar"/>
              </w:rPr>
              <w:t xml:space="preserve">reports/resultats_complets_FR.md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Tous</w:t>
            </w:r>
            <w:r>
              <w:t xml:space="preserve"> </w:t>
            </w:r>
            <w:r>
              <w:t xml:space="preserve">les tableaux chiffrés (tracking error, par actif, par palier, régimes, optimisations, robustesse, crises), chacun relié à sa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 guide global</w:t>
            </w:r>
            <w:r>
              <w:t xml:space="preserve"> </w:t>
            </w:r>
            <w:r>
              <w:rPr>
                <w:rStyle w:val="VerbatimChar"/>
              </w:rPr>
              <w:t xml:space="preserve">reports/guide_global_FR.md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vue d'ensemble et la carte de lecture.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 du code</w:t>
            </w:r>
            <w:r>
              <w:t xml:space="preserve"> </w:t>
            </w:r>
            <w:r>
              <w:rPr>
                <w:rStyle w:val="VerbatimChar"/>
              </w:rPr>
              <w:t xml:space="preserve">reports/tracabilite_code_FR.md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se trouve chaque calcul dans le code Python (fichier : lignes).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Résumé exécutif</w:t>
            </w:r>
            <w:r>
              <w:t xml:space="preserve"> </w:t>
            </w:r>
            <w:r>
              <w:rPr>
                <w:rStyle w:val="VerbatimChar"/>
              </w:rPr>
              <w:t xml:space="preserve">reports/resume_executif_FR.md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version courte des messages clés.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Méthodologie détaillée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docs/methodology.md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reports/figures_fr/</w:t>
            </w:r>
            <w:r>
              <w:t xml:space="preserve"> </w:t>
            </w:r>
            <w:r>
              <w:t xml:space="preserve">(dont T1–T4)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Chiffres officiels (source unique)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analysis/results_manifest.json</w:t>
            </w:r>
          </w:p>
        </w:tc>
      </w:tr>
    </w:tbl>
    <w:bookmarkEnd w:id="26"/>
    <w:bookmarkStart w:id="27" w:name="X66b302b91eef564ad5e9b3a154defe83bf3d521"/>
    <w:p>
      <w:pPr>
        <w:pStyle w:val="Heading2"/>
      </w:pPr>
      <w:r>
        <w:t xml:space="preserve">8. Pour aller plus loin (travail de rédaction restant)</w:t>
      </w:r>
    </w:p>
    <w:p>
      <w:pPr>
        <w:pStyle w:val="FirstParagraph"/>
      </w:pPr>
      <w:r>
        <w:t xml:space="preserve">L'analyse empirique (données, calculs, graphiques, tests statistiques) est</w:t>
      </w:r>
      <w:r>
        <w:t xml:space="preserve"> </w:t>
      </w:r>
      <w:r>
        <w:rPr>
          <w:bCs/>
          <w:b/>
        </w:rPr>
        <w:t xml:space="preserve">terminée et</w:t>
      </w:r>
      <w:r>
        <w:rPr>
          <w:bCs/>
          <w:b/>
        </w:rPr>
        <w:t xml:space="preserve"> </w:t>
      </w:r>
      <w:r>
        <w:rPr>
          <w:bCs/>
          <w:b/>
        </w:rPr>
        <w:t xml:space="preserve">reproductible</w:t>
      </w:r>
      <w:r>
        <w:t xml:space="preserve">. Restent à rédiger, pour transformer ce socle en mémoire complet :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revue de littérature</w:t>
      </w:r>
      <w:r>
        <w:t xml:space="preserve"> </w:t>
      </w:r>
      <w:r>
        <w:t xml:space="preserve">(décomposition du rôle des obligations, duration, alternatives) ;</w:t>
      </w:r>
    </w:p>
    <w:p>
      <w:pPr>
        <w:numPr>
          <w:ilvl w:val="0"/>
          <w:numId w:val="100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cadre théorique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références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l'</w:t>
      </w:r>
      <w:r>
        <w:rPr>
          <w:bCs/>
          <w:b/>
        </w:rPr>
        <w:t xml:space="preserve">introduction</w:t>
      </w:r>
      <w:r>
        <w:t xml:space="preserve">, la</w:t>
      </w:r>
      <w:r>
        <w:t xml:space="preserve"> </w:t>
      </w:r>
      <w:r>
        <w:rPr>
          <w:bCs/>
          <w:b/>
        </w:rPr>
        <w:t xml:space="preserve">discussion</w:t>
      </w:r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conclusion</w:t>
      </w:r>
      <w:r>
        <w:t xml:space="preserve"> </w:t>
      </w:r>
      <w:r>
        <w:t xml:space="preserve">rédigées ;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mise en forme</w:t>
      </w:r>
      <w:r>
        <w:t xml:space="preserve"> </w:t>
      </w:r>
      <w:r>
        <w:t xml:space="preserve">finale.</w:t>
      </w:r>
    </w:p>
    <w:p>
      <w:pPr>
        <w:pStyle w:val="FirstParagraph"/>
      </w:pPr>
      <w:r>
        <w:t xml:space="preserve">Les chiffres et figures nécessaires à ces chapitres existent déjà dans les documents ci-dessus.</w:t>
      </w:r>
    </w:p>
    <w:bookmarkEnd w:id="27"/>
    <w:bookmarkStart w:id="28" w:name="X701386d677a847b87bcbc58cad2ecd62a32c5af"/>
    <w:p>
      <w:pPr>
        <w:pStyle w:val="Heading2"/>
      </w:pPr>
      <w:r>
        <w:t xml:space="preserve">9. Questions fréquentes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Pourquoi commencer en 2008 ?</w:t>
      </w:r>
      <w:r>
        <w:t xml:space="preserve"> </w:t>
      </w:r>
      <w:r>
        <w:t xml:space="preserve">L'une des alternatives (la dette émergente) débute en février</w:t>
      </w:r>
      <w:r>
        <w:t xml:space="preserve"> </w:t>
      </w:r>
      <w:r>
        <w:t xml:space="preserve">2008 ; pour comparer tous les portefeuilles sur exactement la même période, on part de là.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Pourquoi des proxys (ETF/indices) et pas les fonds VZ eux-mêmes ?</w:t>
      </w:r>
      <w:r>
        <w:t xml:space="preserve"> </w:t>
      </w:r>
      <w:r>
        <w:t xml:space="preserve">Il faut un historique long,</w:t>
      </w:r>
      <w:r>
        <w:t xml:space="preserve"> </w:t>
      </w:r>
      <w:r>
        <w:t xml:space="preserve">public et net de frais ; les ETF/indices le fournissent, ce qui est indiqué explicitement.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L'or à 0,60, pourquoi ne pas tout mettre en or ?</w:t>
      </w:r>
      <w:r>
        <w:t xml:space="preserve"> </w:t>
      </w:r>
      <w:r>
        <w:t xml:space="preserve">C'est un seul actif, très volatil, sans</w:t>
      </w:r>
      <w:r>
        <w:t xml:space="preserve"> </w:t>
      </w:r>
      <w:r>
        <w:t xml:space="preserve">aucun revenu, et le résultat vient d'une période favorable à l'or. Concentrer 42 % du</w:t>
      </w:r>
      <w:r>
        <w:t xml:space="preserve"> </w:t>
      </w:r>
      <w:r>
        <w:t xml:space="preserve">portefeuille sur un seul pari serait imprudent.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 résultat est-il robuste ?</w:t>
      </w:r>
      <w:r>
        <w:t xml:space="preserve"> </w:t>
      </w:r>
      <w:r>
        <w:t xml:space="preserve">Oui pour le point central (« le remplacement intégral aggrave</w:t>
      </w:r>
      <w:r>
        <w:t xml:space="preserve"> </w:t>
      </w:r>
      <w:r>
        <w:t xml:space="preserve">les pertes extrêmes ») : il survit à toutes les variations testées. Le petit avantage d'un</w:t>
      </w:r>
      <w:r>
        <w:t xml:space="preserve"> </w:t>
      </w:r>
      <w:r>
        <w:t xml:space="preserve">remplacement partiel, lui, dépend des hypothèses — ce qui est indiqué honnêtement.</w:t>
      </w:r>
    </w:p>
    <w:p>
      <w:pPr>
        <w:pStyle w:val="FirstParagraph"/>
      </w:pPr>
      <w:r>
        <w:t xml:space="preserve">\newpage</w:t>
      </w:r>
    </w:p>
    <w:bookmarkEnd w:id="28"/>
    <w:bookmarkStart w:id="44" w:name="figures-illustrations"/>
    <w:p>
      <w:pPr>
        <w:pStyle w:val="Heading2"/>
      </w:pPr>
      <w:r>
        <w:t xml:space="preserve">Figures (illustrations)</w:t>
      </w:r>
    </w:p>
    <w:p>
      <w:pPr>
        <w:pStyle w:val="FirstParagraph"/>
      </w:pPr>
      <w:r>
        <w:rPr>
          <w:bCs/>
          <w:b/>
        </w:rPr>
        <w:t xml:space="preserve">Figure 1 — Rendement total cumulé en CHF, net de frais (2008–2026).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1_rendement_cumu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— Validation : AP5 reconstitué vs performance réelle VZ.</w:t>
      </w:r>
    </w:p>
    <w:p>
      <w:pPr>
        <w:pStyle w:val="BodyText"/>
      </w:pPr>
      <w:r>
        <w:drawing>
          <wp:inline>
            <wp:extent cx="5334000" cy="284479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2_valid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— Rendement annualisé par régime de taux (BNS).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4_rendement_par_regim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 — Comportement de la poche obligataire par régime.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5_obligations_par_regim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 — Panier curated vs naïf (100 % remplacé).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8_curated_vs_naif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global — vue d'ensemble du projet (VZ AP5, 2008–2026)</dc:title>
  <dc:creator/>
  <cp:keywords/>
  <dcterms:created xsi:type="dcterms:W3CDTF">2026-08-20T08:14:20Z</dcterms:created>
  <dcterms:modified xsi:type="dcterms:W3CDTF">2026-08-20T08:14:20Z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