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Résultats complets — tous les calculs reliés au code (VZ AP5, 2008–2026)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e26cfdcd6f95bd69ee15a2c1d269be1b2f95ff9"/>
    <w:p>
      <w:pPr>
        <w:pStyle w:val="Heading1"/>
      </w:pPr>
      <w:r>
        <w:t xml:space="preserve">Résultats complets — tous les calculs, reliés au code</w:t>
      </w:r>
    </w:p>
    <w:p>
      <w:pPr>
        <w:pStyle w:val="FirstParagraph"/>
      </w:pPr>
      <w:r>
        <w:rPr>
          <w:bCs/>
          <w:b/>
        </w:rPr>
        <w:t xml:space="preserve">Mémoire VZ AP5 · CHF, mensuel, net de frais · février 2008 – juin 2026</w:t>
      </w:r>
    </w:p>
    <w:p>
      <w:pPr>
        <w:pStyle w:val="BlockText"/>
      </w:pPr>
      <w:r>
        <w:t xml:space="preserve">Ce document rassemble</w:t>
      </w:r>
      <w:r>
        <w:t xml:space="preserve"> </w:t>
      </w:r>
      <w:r>
        <w:rPr>
          <w:bCs/>
          <w:b/>
        </w:rPr>
        <w:t xml:space="preserve">tous les résultats chiffrés</w:t>
      </w:r>
      <w:r>
        <w:t xml:space="preserve"> </w:t>
      </w:r>
      <w:r>
        <w:t xml:space="preserve">produits par l'étude. Chaque tableau</w:t>
      </w:r>
      <w:r>
        <w:t xml:space="preserve"> </w:t>
      </w:r>
      <w:r>
        <w:t xml:space="preserve">indique</w:t>
      </w:r>
      <w:r>
        <w:t xml:space="preserve"> </w:t>
      </w:r>
      <w:r>
        <w:rPr>
          <w:bCs/>
          <w:b/>
        </w:rPr>
        <w:t xml:space="preserve">sa source</w:t>
      </w:r>
      <w:r>
        <w:t xml:space="preserve"> </w:t>
      </w:r>
      <w:r>
        <w:t xml:space="preserve">(le fichier</w:t>
      </w:r>
      <w:r>
        <w:t xml:space="preserve"> </w:t>
      </w:r>
      <w:r>
        <w:rPr>
          <w:rStyle w:val="VerbatimChar"/>
        </w:rPr>
        <w:t xml:space="preserve">analysis/*.csv</w:t>
      </w:r>
      <w:r>
        <w:t xml:space="preserve">)</w:t>
      </w:r>
      <w:r>
        <w:t xml:space="preserve"> </w:t>
      </w:r>
      <w:r>
        <w:rPr>
          <w:bCs/>
          <w:b/>
        </w:rPr>
        <w:t xml:space="preserve">et le code Python</w:t>
      </w:r>
      <w:r>
        <w:t xml:space="preserve"> </w:t>
      </w:r>
      <w:r>
        <w:t xml:space="preserve">qui l'a calculé</w:t>
      </w:r>
      <w:r>
        <w:t xml:space="preserve"> </w:t>
      </w:r>
      <w:r>
        <w:t xml:space="preserve">(</w:t>
      </w:r>
      <w:r>
        <w:rPr>
          <w:rStyle w:val="VerbatimChar"/>
        </w:rPr>
        <w:t xml:space="preserve">fichier.py:lignes</w:t>
      </w:r>
      <w:r>
        <w:t xml:space="preserve">). La</w:t>
      </w:r>
      <w:r>
        <w:t xml:space="preserve"> </w:t>
      </w:r>
      <w:r>
        <w:rPr>
          <w:bCs/>
          <w:b/>
        </w:rPr>
        <w:t xml:space="preserve">source unique</w:t>
      </w:r>
      <w:r>
        <w:t xml:space="preserve"> </w:t>
      </w:r>
      <w:r>
        <w:t xml:space="preserve">de vérité est</w:t>
      </w:r>
      <w:r>
        <w:t xml:space="preserve"> </w:t>
      </w:r>
      <w:r>
        <w:rPr>
          <w:rStyle w:val="VerbatimChar"/>
        </w:rPr>
        <w:t xml:space="preserve">analysis/results_manifest.json</w:t>
      </w:r>
      <w:r>
        <w:t xml:space="preserve">.</w:t>
      </w:r>
      <w:r>
        <w:t xml:space="preserve"> </w:t>
      </w:r>
      <w:r>
        <w:t xml:space="preserve">Convention :</w:t>
      </w:r>
      <w:r>
        <w:t xml:space="preserve"> </w:t>
      </w:r>
      <w:r>
        <w:rPr>
          <w:rStyle w:val="VerbatimChar"/>
        </w:rPr>
        <w:t xml:space="preserve">fichier.py:12-34</w:t>
      </w:r>
      <w:r>
        <w:t xml:space="preserve"> </w:t>
      </w:r>
      <w:r>
        <w:t xml:space="preserve">= fichier, lignes 12 à 34 ; le</w:t>
      </w:r>
      <w:r>
        <w:t xml:space="preserve"> </w:t>
      </w:r>
      <w:r>
        <w:rPr>
          <w:bCs/>
          <w:b/>
        </w:rPr>
        <w:t xml:space="preserve">nom de la fonction</w:t>
      </w:r>
      <w:r>
        <w:t xml:space="preserve"> </w:t>
      </w:r>
      <w:r>
        <w:t xml:space="preserve">reste le</w:t>
      </w:r>
      <w:r>
        <w:t xml:space="preserve"> </w:t>
      </w:r>
      <w:r>
        <w:t xml:space="preserve">repère fiable si les lignes se décalent. Rendements/vol/pertes en</w:t>
      </w:r>
      <w:r>
        <w:t xml:space="preserve"> </w:t>
      </w:r>
      <w:r>
        <w:rPr>
          <w:bCs/>
          <w:b/>
        </w:rPr>
        <w:t xml:space="preserve">% par an</w:t>
      </w:r>
      <w:r>
        <w:t xml:space="preserve"> </w:t>
      </w:r>
      <w:r>
        <w:t xml:space="preserve">sauf mention.</w:t>
      </w:r>
    </w:p>
    <w:p>
      <w:r>
        <w:pict>
          <v:rect style="width:0;height:1.5pt" o:hralign="center" o:hrstd="t" o:hr="t"/>
        </w:pict>
      </w:r>
    </w:p>
    <w:bookmarkStart w:id="21" w:name="X793f9142094f782135c84d8897748715d758ede"/>
    <w:p>
      <w:pPr>
        <w:pStyle w:val="Heading2"/>
      </w:pPr>
      <w:r>
        <w:t xml:space="preserve">1. Validation de la reconstruction (tracking error)</w:t>
      </w:r>
    </w:p>
    <w:p>
      <w:pPr>
        <w:pStyle w:val="FirstParagraph"/>
      </w:pPr>
      <w:r>
        <w:t xml:space="preserve">Reconstitution de l'AP5 comparée à la</w:t>
      </w:r>
      <w:r>
        <w:t xml:space="preserve"> </w:t>
      </w:r>
      <w:r>
        <w:rPr>
          <w:bCs/>
          <w:b/>
        </w:rPr>
        <w:t xml:space="preserve">vraie valeur du produit VZ</w:t>
      </w:r>
      <w:r>
        <w:t xml:space="preserve"> </w:t>
      </w:r>
      <w:r>
        <w:t xml:space="preserve">(85 mois, 2019–2026).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Corrélation mensuelle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 error (annualisé)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2,37 %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Bêta (régression VZ = α + β·recon)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 (annualisé)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Écart mensuel absolu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Rendement cumulé — reconstitué vs VZ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+25,25 % vs +21,09 %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analysis/ap5_validation.csv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src/analysis_2008.py:112-146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validate_vs_vz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:392</w:t>
      </w:r>
      <w:r>
        <w:t xml:space="preserve">.</w:t>
      </w:r>
    </w:p>
    <w:bookmarkStart w:id="20" w:name="X921c7995fbc1ab4b7e9015a50af9a6239cd0ca3"/>
    <w:p>
      <w:pPr>
        <w:pStyle w:val="Heading3"/>
      </w:pPr>
      <w:r>
        <w:t xml:space="preserve">1b. La validation ne dépend pas de la bande de surveillance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Corrélation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Bêta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±5 %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±8 % (modèle principal)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0,907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analysis/ap5_validation_band_sensitivity.csv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src/analysis_2008.py:149-162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validation_band_sensitivity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:393</w:t>
      </w:r>
      <w:r>
        <w:t xml:space="preserve">.</w:t>
      </w:r>
    </w:p>
    <w:bookmarkEnd w:id="20"/>
    <w:bookmarkEnd w:id="21"/>
    <w:bookmarkStart w:id="22" w:name="X1c111b4bb2b4121cac4d9d98e0dd68db8158897"/>
    <w:p>
      <w:pPr>
        <w:pStyle w:val="Heading2"/>
      </w:pPr>
      <w:r>
        <w:t xml:space="preserve">2. Performance par actif (chaque « ingrédient »)</w:t>
      </w:r>
    </w:p>
    <w:p>
      <w:pPr>
        <w:pStyle w:val="FirstParagraph"/>
      </w:pPr>
      <w:r>
        <w:t xml:space="preserve">Sharpe = excès sur le cash CHF. Le CSV contient aussi l'asymétrie (Skew) et le kurtosis (ExKurt).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suisses (large)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suisses (1–5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monde (large)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monde (1–5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 suisses (SPI)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 suisses (SLI)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 suisses (SPI Extra)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−44,0 %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 monde (MSCI World)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18,73 %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−41,6 %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 monde (Small)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−40,8 %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 émergentes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19,68 %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−49,2 %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Immobilier (SXI)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−19,1 %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Haut rendement (HY, couvert)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−29,4 %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Dette émergente (EM, couvert)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 futures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Matières premières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−75,7 %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Convertibles (candidat, dès 2009)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Liquidités (cash BNS)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−5,5 %</w:t>
            </w:r>
          </w:p>
        </w:tc>
      </w:tr>
    </w:tbl>
    <w:p>
      <w:pPr>
        <w:pStyle w:val="BodyText"/>
      </w:pPr>
      <w:r>
        <w:rPr>
          <w:iCs/>
          <w:i/>
        </w:rPr>
        <w:t xml:space="preserve">Variantes non couvertes (robustesse) : HY 3,84 % / Sharpe 0,40 ; EM 3,24 % / Sharpe 0,33.</w:t>
      </w:r>
    </w:p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analysis/descriptive_stats.csv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src/analysis_2008.py:164-182</w:t>
      </w:r>
      <w:r>
        <w:t xml:space="preserve"> </w:t>
      </w:r>
      <w:r>
        <w:t xml:space="preserve">(</w:t>
      </w:r>
      <w:r>
        <w:rPr>
          <w:rStyle w:val="VerbatimChar"/>
        </w:rPr>
        <w:t xml:space="preserve">descriptive_stats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:387</w:t>
      </w:r>
      <w:r>
        <w:t xml:space="preserve">.</w:t>
      </w:r>
    </w:p>
    <w:bookmarkEnd w:id="22"/>
    <w:bookmarkStart w:id="23" w:name="X3a50a45c685ea31cfa71620b5b884406c2ff806"/>
    <w:p>
      <w:pPr>
        <w:pStyle w:val="Heading2"/>
      </w:pPr>
      <w:r>
        <w:t xml:space="preserve">3. Performance par palier de remplacement (0 → 100 %, pas de 10 %)</w:t>
      </w:r>
    </w:p>
    <w:p>
      <w:pPr>
        <w:pStyle w:val="FirstParagraph"/>
      </w:pPr>
      <w:r>
        <w:t xml:space="preserve">Remplacement des obligations par le</w:t>
      </w:r>
      <w:r>
        <w:t xml:space="preserve"> </w:t>
      </w:r>
      <w:r>
        <w:rPr>
          <w:bCs/>
          <w:b/>
        </w:rPr>
        <w:t xml:space="preserve">mélange équipondéré</w:t>
      </w:r>
      <w:r>
        <w:t xml:space="preserve"> </w:t>
      </w:r>
      <w:r>
        <w:t xml:space="preserve">des six alternatives. Le CSV contient</w:t>
      </w:r>
      <w:r>
        <w:t xml:space="preserve"> </w:t>
      </w:r>
      <w:r>
        <w:t xml:space="preserve">aussi</w:t>
      </w:r>
      <w:r>
        <w:t xml:space="preserve"> </w:t>
      </w:r>
      <w:r>
        <w:rPr>
          <w:rStyle w:val="VerbatimChar"/>
        </w:rPr>
        <w:t xml:space="preserve">Sharpe_rf0</w:t>
      </w:r>
      <w:r>
        <w:t xml:space="preserve"> </w:t>
      </w:r>
      <w:r>
        <w:t xml:space="preserve">(Sharpe sans risque nul),</w:t>
      </w:r>
      <w:r>
        <w:t xml:space="preserve"> </w:t>
      </w:r>
      <w:r>
        <w:rPr>
          <w:rStyle w:val="VerbatimChar"/>
        </w:rPr>
        <w:t xml:space="preserve">Sortino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Calmar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Portefeuille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CVaR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AP5 (0 %)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Remplacement 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−5,41 %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−5,56 %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−22,7 %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−5,73 %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−23,5 %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−5,93 %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−6,31 %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−6,51 %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−6,71 %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−7,12 %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analysis/perf_full_net.csv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src/analysis_2008.py:99-108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run_books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rPr>
          <w:rStyle w:val="VerbatimChar"/>
        </w:rPr>
        <w:t xml:space="preserve">:379-385</w:t>
      </w:r>
      <w:r>
        <w:t xml:space="preserve">, écriture</w:t>
      </w:r>
      <w:r>
        <w:t xml:space="preserve"> </w:t>
      </w:r>
      <w:r>
        <w:rPr>
          <w:rStyle w:val="VerbatimChar"/>
        </w:rPr>
        <w:t xml:space="preserve">:386</w:t>
      </w:r>
      <w:r>
        <w:t xml:space="preserve">. Les</w:t>
      </w:r>
      <w:r>
        <w:t xml:space="preserve"> </w:t>
      </w:r>
      <w:r>
        <w:rPr>
          <w:bCs/>
          <w:b/>
        </w:rPr>
        <w:t xml:space="preserve">poids</w:t>
      </w:r>
      <w:r>
        <w:t xml:space="preserve"> </w:t>
      </w:r>
      <w:r>
        <w:t xml:space="preserve">de chaque palier :</w:t>
      </w:r>
      <w:r>
        <w:t xml:space="preserve"> </w:t>
      </w:r>
      <w:r>
        <w:rPr>
          <w:rStyle w:val="VerbatimChar"/>
        </w:rPr>
        <w:t xml:space="preserve">analysis/book_weights.csv</w:t>
      </w:r>
      <w:r>
        <w:t xml:space="preserve"> </w:t>
      </w:r>
      <w:r>
        <w:t xml:space="preserve">(écriture</w:t>
      </w:r>
      <w:r>
        <w:t xml:space="preserve"> </w:t>
      </w:r>
      <w:r>
        <w:rPr>
          <w:rStyle w:val="VerbatimChar"/>
        </w:rPr>
        <w:t xml:space="preserve">:391</w:t>
      </w:r>
      <w:r>
        <w:t xml:space="preserve">).</w:t>
      </w:r>
    </w:p>
    <w:bookmarkEnd w:id="23"/>
    <w:bookmarkStart w:id="24" w:name="X9fab0282d44025fbd273707c332353fa8a79355"/>
    <w:p>
      <w:pPr>
        <w:pStyle w:val="Heading2"/>
      </w:pPr>
      <w:r>
        <w:t xml:space="preserve">4. Comportement des obligations par régime de taux</w:t>
      </w:r>
    </w:p>
    <w:p>
      <w:pPr>
        <w:pStyle w:val="FirstParagraph"/>
      </w:pPr>
      <w:r>
        <w:t xml:space="preserve">Rendement annualisé de chaque tranche d'obligations, par régime BNS.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Suisses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Suisses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Monde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Monde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2008–14 (taux bas positifs)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+2,56 %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+4,06 %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+2,47 %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+0,52 %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2015–22 (négatifs)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−0,67 %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2022–24 (hausses)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+1,61 %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+0,87 %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−2,88 %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−1,19 %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+1,03 %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2024–26 (assouplissement)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+2,66 %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+0,58 %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+0,55 %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la 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+1,81 %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+1,14 %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+1,07 %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+0,60 %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+0,06 %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analysis/bond_sleeve_by_regime.csv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src/analysis_2008.py:230-242</w:t>
      </w:r>
      <w:r>
        <w:t xml:space="preserve"> </w:t>
      </w:r>
      <w:r>
        <w:t xml:space="preserve">(</w:t>
      </w:r>
      <w:r>
        <w:rPr>
          <w:rStyle w:val="VerbatimChar"/>
        </w:rPr>
        <w:t xml:space="preserve">bond_sleeve_by_regime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:388</w:t>
      </w:r>
      <w:r>
        <w:t xml:space="preserve">.</w:t>
      </w:r>
    </w:p>
    <w:bookmarkEnd w:id="24"/>
    <w:bookmarkStart w:id="26" w:name="Xc6b6d25df97d8e034a0cc0e64b8801f02ea66ab"/>
    <w:p>
      <w:pPr>
        <w:pStyle w:val="Heading2"/>
      </w:pPr>
      <w:r>
        <w:t xml:space="preserve">5. Performance des portefeuilles par régime</w:t>
      </w:r>
    </w:p>
    <w:p>
      <w:pPr>
        <w:pStyle w:val="FirstParagraph"/>
      </w:pPr>
      <w:r>
        <w:t xml:space="preserve">Résumé AP5 vs remplacements (CAGR ; Sharpe entre parenthèses). Le</w:t>
      </w:r>
      <w:r>
        <w:t xml:space="preserve"> </w:t>
      </w:r>
      <w:r>
        <w:rPr>
          <w:bCs/>
          <w:b/>
        </w:rPr>
        <w:t xml:space="preserve">détail des 11 paliers</w:t>
      </w:r>
      <w:r>
        <w:t xml:space="preserve"> </w:t>
      </w:r>
      <w:r>
        <w:t xml:space="preserve">par</w:t>
      </w:r>
      <w:r>
        <w:t xml:space="preserve"> </w:t>
      </w:r>
      <w:r>
        <w:t xml:space="preserve">régime (CAGR/Vol/Sharpe/MaxDD) est dans les fichiers</w:t>
      </w:r>
      <w:r>
        <w:t xml:space="preserve"> </w:t>
      </w:r>
      <w:r>
        <w:rPr>
          <w:rStyle w:val="VerbatimChar"/>
        </w:rPr>
        <w:t xml:space="preserve">regime_*.csv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2008–14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3,74 % (0,43)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2,80 % (0,26)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2015–22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3,35 % (0,59)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5,12 % (0,63)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2022–24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−0,18 % (−0,08)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−1,58 % (−0,18)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2024–26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6,49 % (0,93)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10,69 % (1,32)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la 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3,55 % (0,48)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4,28 % (0,46)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analysis/regime_R1…R4_*.csv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regime_Full_2008-26.csv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src/analysis_2008.py:216-228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regime_metrics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:390</w:t>
      </w:r>
      <w:r>
        <w:t xml:space="preserve">.</w:t>
      </w:r>
    </w:p>
    <w:bookmarkStart w:id="25" w:name="Xf16d434a4fc50d73d32f596d000f3cddb172506"/>
    <w:p>
      <w:pPr>
        <w:pStyle w:val="Heading3"/>
      </w:pPr>
      <w:r>
        <w:t xml:space="preserve">5b. Les obligations suisses et mondiales ne sont pas redondantes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Corrélation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(variance partagée)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Bêta (suisses sur mondiales)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Corrélation en 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0,831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analysis/results_manifest.json</w:t>
      </w:r>
      <w:r>
        <w:t xml:space="preserve"> </w:t>
      </w:r>
      <w:r>
        <w:t xml:space="preserve">(clé</w:t>
      </w:r>
      <w:r>
        <w:t xml:space="preserve"> </w:t>
      </w:r>
      <w:r>
        <w:rPr>
          <w:rStyle w:val="VerbatimChar"/>
        </w:rPr>
        <w:t xml:space="preserve">bond_redundancy</w:t>
      </w:r>
      <w:r>
        <w:t xml:space="preserve">) 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src/analysis_2008.py:184-201</w:t>
      </w:r>
      <w:r>
        <w:t xml:space="preserve"> </w:t>
      </w:r>
      <w:r>
        <w:t xml:space="preserve">(</w:t>
      </w:r>
      <w:r>
        <w:rPr>
          <w:rStyle w:val="VerbatimChar"/>
        </w:rPr>
        <w:t xml:space="preserve">bond_redundancy</w:t>
      </w:r>
      <w:r>
        <w:t xml:space="preserve">).</w:t>
      </w:r>
    </w:p>
    <w:bookmarkEnd w:id="25"/>
    <w:bookmarkEnd w:id="26"/>
    <w:bookmarkStart w:id="28" w:name="X64932257d5efcd63f5389530c4365278949d647"/>
    <w:p>
      <w:pPr>
        <w:pStyle w:val="Heading2"/>
      </w:pPr>
      <w:r>
        <w:t xml:space="preserve">6. Étape A — remplacer par UNE seule alternative (100 %)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100 % des obligations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CVaR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−6,83 %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Mélange trié (rappel)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−27,6 %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−7,04 %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AP5 (référence)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 rendement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Dette émergente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−7,28 %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Mélange équipondéré (rappel)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−7,12 %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−9,40 %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futures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−6,34 %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Matières premières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−39,1 %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−9,71 %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analysis/single_alt_full_replacement.csv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src/single_alternatives.py:47-58</w:t>
      </w:r>
      <w:r>
        <w:t xml:space="preserve"> </w:t>
      </w:r>
      <w:r>
        <w:t xml:space="preserve">(</w:t>
      </w:r>
      <w:r>
        <w:rPr>
          <w:rStyle w:val="VerbatimChar"/>
        </w:rPr>
        <w:t xml:space="preserve">full_replacement_table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:81</w:t>
      </w:r>
      <w:r>
        <w:t xml:space="preserve">.</w:t>
      </w:r>
    </w:p>
    <w:bookmarkStart w:id="27" w:name="X45300d0f82c8a957485e2ff81999e922d39c7a7"/>
    <w:p>
      <w:pPr>
        <w:pStyle w:val="Heading3"/>
      </w:pPr>
      <w:r>
        <w:t xml:space="preserve">6b. Sharpe (et pire perte) selon la dose, par alternative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 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 rendement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Dette émergente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futures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Matières premières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0,239</w:t>
            </w:r>
          </w:p>
        </w:tc>
      </w:tr>
    </w:tbl>
    <w:p>
      <w:pPr>
        <w:pStyle w:val="BodyText"/>
      </w:pPr>
      <w:r>
        <w:rPr>
          <w:iCs/>
          <w:i/>
        </w:rPr>
        <w:t xml:space="preserve">(Les colonnes de pire perte par dose sont aussi dans le CSV.)</w:t>
      </w:r>
      <w:r>
        <w:t xml:space="preserve"> </w:t>
      </w: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analysis/single_alt_sweep.csv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src/single_alternatives.py:60-71</w:t>
      </w:r>
      <w:r>
        <w:t xml:space="preserve"> </w:t>
      </w:r>
      <w:r>
        <w:t xml:space="preserve">(</w:t>
      </w:r>
      <w:r>
        <w:rPr>
          <w:rStyle w:val="VerbatimChar"/>
        </w:rPr>
        <w:t xml:space="preserve">sweep_table</w:t>
      </w:r>
      <w:r>
        <w:t xml:space="preserve">),</w:t>
      </w:r>
      <w:r>
        <w:t xml:space="preserve"> </w:t>
      </w:r>
      <w:r>
        <w:t xml:space="preserve">écriture</w:t>
      </w:r>
      <w:r>
        <w:t xml:space="preserve"> </w:t>
      </w:r>
      <w:r>
        <w:rPr>
          <w:rStyle w:val="VerbatimChar"/>
        </w:rPr>
        <w:t xml:space="preserve">:82</w:t>
      </w:r>
      <w:r>
        <w:t xml:space="preserve">.</w:t>
      </w:r>
    </w:p>
    <w:bookmarkEnd w:id="27"/>
    <w:bookmarkEnd w:id="28"/>
    <w:bookmarkStart w:id="29" w:name="X6841aaf1849ffd75fb1989b07292a60d1e8beba"/>
    <w:p>
      <w:pPr>
        <w:pStyle w:val="Heading2"/>
      </w:pPr>
      <w:r>
        <w:t xml:space="preserve">7. Étape B — mélange équipondéré vs mélange trié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Portefeuille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CVaR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Équipondéré 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−5,80 %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Équipondéré 67 %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−6,44 %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Équipondéré 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−7,12 %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Trié 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−22,6 %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−5,72 %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Trié 67 %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−6,34 %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Trié 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10,02 %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−27,6 %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−7,04 %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analysis/curated_vs_naive.csv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src/analysis_2008.py:337-349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run_curated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:377</w:t>
      </w:r>
      <w:r>
        <w:t xml:space="preserve">.</w:t>
      </w:r>
    </w:p>
    <w:bookmarkEnd w:id="29"/>
    <w:bookmarkStart w:id="30" w:name="Xde2c7c3be87f3ec39f2632baf15616c6e6ca647"/>
    <w:p>
      <w:pPr>
        <w:pStyle w:val="Heading2"/>
      </w:pPr>
      <w:r>
        <w:t xml:space="preserve">8. Étape C — allocation optimisée (en échantillon)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CVaR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8,12 %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−18,4 %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−5,57 %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minimale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−5,12 %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CVaR minimale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−5,12 %</w:t>
            </w:r>
          </w:p>
        </w:tc>
      </w:tr>
    </w:tbl>
    <w:p>
      <w:pPr>
        <w:pStyle w:val="BodyText"/>
      </w:pPr>
      <w:r>
        <w:rPr>
          <w:bCs/>
          <w:b/>
        </w:rPr>
        <w:t xml:space="preserve">Poids choisis pour les 42 %</w:t>
      </w:r>
      <w:r>
        <w:t xml:space="preserve"> </w:t>
      </w:r>
      <w:r>
        <w:t xml:space="preserve">(cœur actions/immobilier/liquidités fixé)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 suisses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 monde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Variance / CVaR minimale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analysis/appendix_optimisation_perf.csv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..._weights.csv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src/appendix_optimization.py:52-87</w:t>
      </w:r>
      <w:r>
        <w:t xml:space="preserve">, algorithme</w:t>
      </w:r>
      <w:r>
        <w:t xml:space="preserve"> </w:t>
      </w:r>
      <w:r>
        <w:rPr>
          <w:rStyle w:val="VerbatimChar"/>
        </w:rPr>
        <w:t xml:space="preserve">src/optimize.py:80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optimise</w:t>
      </w:r>
      <w:r>
        <w:t xml:space="preserve">).</w:t>
      </w:r>
    </w:p>
    <w:bookmarkEnd w:id="30"/>
    <w:bookmarkStart w:id="31" w:name="Xb52abb47a099ad924c390669a5e74b88683ef8a"/>
    <w:p>
      <w:pPr>
        <w:pStyle w:val="Heading2"/>
      </w:pPr>
      <w:r>
        <w:t xml:space="preserve">8b. Benchmarks de comparaison (actions, cash, remplacement asymétrique)</w:t>
      </w:r>
    </w:p>
    <w:p>
      <w:pPr>
        <w:pStyle w:val="FirstParagraph"/>
      </w:pPr>
      <w:r>
        <w:t xml:space="preserve">Trois portefeuilles de contrôle, mêmes hypothèses que tout le reste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100 % des obligations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Pire perte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CVaR 95 %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AP5 (référence)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 égal des 6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−7,12 %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 (mix AP5 renormalisé)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−36,0 %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−9,12 %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 (BNS)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−5,04 %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Oblig. mondiales seules → mix égal (suisses gardées)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−6,35 %</w:t>
            </w:r>
          </w:p>
        </w:tc>
      </w:tr>
    </w:tbl>
    <w:p>
      <w:pPr>
        <w:pStyle w:val="BodyText"/>
      </w:pPr>
      <w:r>
        <w:t xml:space="preserve">Sharpe par dose (25/50/75/100 % ; les colonnes de pire perte sont dans le CSV)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→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→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Oblig. mondiales seules → mix 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0,479</w:t>
            </w:r>
          </w:p>
        </w:tc>
      </w:tr>
    </w:tbl>
    <w:p>
      <w:pPr>
        <w:pStyle w:val="BodyText"/>
      </w:pPr>
      <w:r>
        <w:rPr>
          <w:iCs/>
          <w:i/>
        </w:rPr>
        <w:t xml:space="preserve">Lecture : le mix d'alternatives ne bat pas de simples actions en Sharpe (0,46 &lt; 0,50) — son</w:t>
      </w:r>
      <w:r>
        <w:rPr>
          <w:iCs/>
          <w:i/>
        </w:rPr>
        <w:t xml:space="preserve"> </w:t>
      </w:r>
      <w:r>
        <w:rPr>
          <w:iCs/>
          <w:i/>
        </w:rPr>
        <w:t xml:space="preserve">surplus de rendement est surtout du risque de marché ; il bat en revanche le cash (0,43) ; et le</w:t>
      </w:r>
      <w:r>
        <w:rPr>
          <w:iCs/>
          <w:i/>
        </w:rPr>
        <w:t xml:space="preserve"> </w:t>
      </w:r>
      <w:r>
        <w:rPr>
          <w:iCs/>
          <w:i/>
        </w:rPr>
        <w:t xml:space="preserve">remplacement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asymétrique</w:t>
      </w:r>
      <w:r>
        <w:rPr>
          <w:iCs/>
          <w:i/>
        </w:rPr>
        <w:t xml:space="preserve"> </w:t>
      </w:r>
      <w:r>
        <w:rPr>
          <w:iCs/>
          <w:i/>
        </w:rPr>
        <w:t xml:space="preserve">(mondiales seulement) préserve le Sharpe de l'AP5 (0,48) avec un</w:t>
      </w:r>
      <w:r>
        <w:rPr>
          <w:iCs/>
          <w:i/>
        </w:rPr>
        <w:t xml:space="preserve"> </w:t>
      </w:r>
      <w:r>
        <w:rPr>
          <w:iCs/>
          <w:i/>
        </w:rPr>
        <w:t xml:space="preserve">downside moins dégradé que le remplacement total.</w:t>
      </w:r>
    </w:p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analysis/benchmark_portfolios.csv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benchmark_portfolios_sweep.csv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src/benchmark_portfolios.py:43-51</w:t>
      </w:r>
      <w:r>
        <w:t xml:space="preserve"> </w:t>
      </w:r>
      <w:r>
        <w:t xml:space="preserve">(</w:t>
      </w:r>
      <w:r>
        <w:rPr>
          <w:rStyle w:val="VerbatimChar"/>
        </w:rPr>
        <w:t xml:space="preserve">world_only_book</w:t>
      </w:r>
      <w:r>
        <w:t xml:space="preserve">),</w:t>
      </w:r>
      <w:r>
        <w:t xml:space="preserve"> </w:t>
      </w:r>
      <w:r>
        <w:rPr>
          <w:rStyle w:val="VerbatimChar"/>
        </w:rPr>
        <w:t xml:space="preserve">:54-58</w:t>
      </w:r>
      <w:r>
        <w:t xml:space="preserve"> </w:t>
      </w:r>
      <w:r>
        <w:t xml:space="preserve">(définition des trois</w:t>
      </w:r>
      <w:r>
        <w:t xml:space="preserve"> </w:t>
      </w:r>
      <w:r>
        <w:t xml:space="preserve">benchmarks),</w:t>
      </w:r>
      <w:r>
        <w:t xml:space="preserve"> </w:t>
      </w:r>
      <w:r>
        <w:rPr>
          <w:rStyle w:val="VerbatimChar"/>
        </w:rPr>
        <w:t xml:space="preserve">:61-90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</w:t>
      </w:r>
      <w:r>
        <w:t xml:space="preserve">).</w:t>
      </w:r>
    </w:p>
    <w:bookmarkEnd w:id="31"/>
    <w:bookmarkStart w:id="32" w:name="X7e69f96e4616858c2fecd006fe79237091afba8"/>
    <w:p>
      <w:pPr>
        <w:pStyle w:val="Heading2"/>
      </w:pPr>
      <w:r>
        <w:t xml:space="preserve">9. Robustesse statistique — bootstrap (3 000 rejeux)</w:t>
      </w:r>
    </w:p>
    <w:p>
      <w:pPr>
        <w:pStyle w:val="FirstParagraph"/>
      </w:pPr>
      <w:r>
        <w:t xml:space="preserve">Différences (remplacement − AP5). « P(…) » = probabilité que la différence aille dans ce sens.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P(ΔCAGR&gt;0)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ΔSharpe [5 % ; 95 %]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P(ΔSharpe&gt;0)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P(pire drawdown)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P(pire CVaR95)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P(pire CVaR90)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[−0,016 ; +0,016]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[−0,031 ; +0,031]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[−0,046 ; +0,043]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[−0,072 ; +0,068]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[−0,137 ; +0,106]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analysis/robustness_bootstrap_ci.csv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src/robustness.py:83-118</w:t>
      </w:r>
      <w:r>
        <w:t xml:space="preserve"> </w:t>
      </w:r>
      <w:r>
        <w:t xml:space="preserve">(</w:t>
      </w:r>
      <w:r>
        <w:rPr>
          <w:rStyle w:val="VerbatimChar"/>
        </w:rPr>
        <w:t xml:space="preserve">bootstrap_ci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:210</w:t>
      </w:r>
      <w:r>
        <w:t xml:space="preserve">.</w:t>
      </w:r>
    </w:p>
    <w:bookmarkEnd w:id="32"/>
    <w:bookmarkStart w:id="33" w:name="X7a5780e3216397ab261437a6a1a367ca1e8806b"/>
    <w:p>
      <w:pPr>
        <w:pStyle w:val="Heading2"/>
      </w:pPr>
      <w:r>
        <w:t xml:space="preserve">10. Robustesse — matrice de sensibilité</w:t>
      </w:r>
    </w:p>
    <w:p>
      <w:pPr>
        <w:pStyle w:val="FirstParagraph"/>
      </w:pPr>
      <w:r>
        <w:t xml:space="preserve">La conclusion survit-elle en changeant les hypothèses ?</w:t>
      </w:r>
      <w:r>
        <w:t xml:space="preserve"> </w:t>
      </w:r>
      <w:r>
        <w:rPr>
          <w:rStyle w:val="VerbatimChar"/>
        </w:rPr>
        <w:t xml:space="preserve">partial_ge_AP5</w:t>
      </w:r>
      <w:r>
        <w:t xml:space="preserve"> </w:t>
      </w:r>
      <w:r>
        <w:t xml:space="preserve">= le remplacement partiel</w:t>
      </w:r>
      <w:r>
        <w:t xml:space="preserve"> </w:t>
      </w:r>
      <w:r>
        <w:t xml:space="preserve">(20 %) fait-il au moins aussi bien que l'AP5 en Sharpe ?</w:t>
      </w:r>
      <w:r>
        <w:t xml:space="preserve"> </w:t>
      </w:r>
      <w:r>
        <w:rPr>
          <w:rStyle w:val="VerbatimChar"/>
        </w:rPr>
        <w:t xml:space="preserve">full_worse_CVaR95</w:t>
      </w:r>
      <w:r>
        <w:t xml:space="preserve"> </w:t>
      </w:r>
      <w:r>
        <w:t xml:space="preserve">= le remplacement</w:t>
      </w:r>
      <w:r>
        <w:t xml:space="preserve"> </w:t>
      </w:r>
      <w:r>
        <w:t xml:space="preserve">total aggrave-t-il la perte extrême 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Spécification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 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 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 ≥ AP5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pire CVaR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 ±5 %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 ±8 %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 ±10 %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 ±15 %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 ±20 %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Coûts 0 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Coûts 50 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HY/EM</w:t>
            </w:r>
            <w:r>
              <w:t xml:space="preserve"> </w:t>
            </w:r>
            <w:r>
              <w:rPr>
                <w:bCs/>
                <w:b/>
              </w:rPr>
              <w:t xml:space="preserve">non couverts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Depuis 2010 (sans 2008-09)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</w:tbl>
    <w:p>
      <w:pPr>
        <w:pStyle w:val="BodyText"/>
      </w:pPr>
      <w:r>
        <w:rPr>
          <w:iCs/>
          <w:i/>
        </w:rPr>
        <w:t xml:space="preserve">Le remplacement total aggrave la pire perte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et</w:t>
      </w:r>
      <w:r>
        <w:rPr>
          <w:iCs/>
          <w:i/>
        </w:rPr>
        <w:t xml:space="preserve"> </w:t>
      </w:r>
      <w:r>
        <w:rPr>
          <w:iCs/>
          <w:i/>
        </w:rPr>
        <w:t xml:space="preserve">la CVaR dans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toutes</w:t>
      </w:r>
      <w:r>
        <w:rPr>
          <w:iCs/>
          <w:i/>
        </w:rPr>
        <w:t xml:space="preserve"> </w:t>
      </w:r>
      <w:r>
        <w:rPr>
          <w:iCs/>
          <w:i/>
        </w:rPr>
        <w:t xml:space="preserve">les spécifications.</w:t>
      </w:r>
      <w:r>
        <w:t xml:space="preserve"> </w:t>
      </w: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analysis/robustness_sensitivity.csv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src/robustness.py:120-159</w:t>
      </w:r>
      <w:r>
        <w:t xml:space="preserve"> </w:t>
      </w:r>
      <w:r>
        <w:t xml:space="preserve">(</w:t>
      </w:r>
      <w:r>
        <w:rPr>
          <w:rStyle w:val="VerbatimChar"/>
        </w:rPr>
        <w:t xml:space="preserve">sensitivity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:211</w:t>
      </w:r>
      <w:r>
        <w:t xml:space="preserve">.</w:t>
      </w:r>
    </w:p>
    <w:bookmarkEnd w:id="33"/>
    <w:bookmarkStart w:id="34" w:name="X400d41e3202e8dc57fbdbcc260e7bf656b6331a"/>
    <w:p>
      <w:pPr>
        <w:pStyle w:val="Heading2"/>
      </w:pPr>
      <w:r>
        <w:t xml:space="preserve">11. Robustesse — bandes par catégorie vs par constituant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 (CAGR/Sharpe/MaxDD)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rééquilibrages (AP5/20/100)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  <w:r>
              <w:t xml:space="preserve"> </w:t>
            </w:r>
            <w:r>
              <w:rPr>
                <w:bCs/>
                <w:b/>
              </w:rPr>
              <w:t xml:space="preserve">catégorie</w:t>
            </w:r>
            <w:r>
              <w:t xml:space="preserve"> </w:t>
            </w:r>
            <w:r>
              <w:t xml:space="preserve">(principale)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3,5 % / 0,483 / −20,3 %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3,7 % / 0,482 / −21,9 %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4,3 % / 0,461 / −28,0 %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/ 37 / 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  <w:r>
              <w:t xml:space="preserve"> </w:t>
            </w:r>
            <w:r>
              <w:rPr>
                <w:bCs/>
                <w:b/>
              </w:rPr>
              <w:t xml:space="preserve">constituant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3,5 % / 0,475 / −20,4 %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3,6 % / 0,475 / −21,8 %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4,3 % / 0,460 / −27,9 %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/ 92 / 96</w:t>
            </w:r>
          </w:p>
        </w:tc>
      </w:tr>
    </w:tbl>
    <w:p>
      <w:pPr>
        <w:pStyle w:val="BodyText"/>
      </w:pPr>
      <w:r>
        <w:rPr>
          <w:iCs/>
          <w:i/>
        </w:rPr>
        <w:t xml:space="preserve">Beaucoup plus d'opérations en granulaire, mais résultats quasi identiques → la conclusion ne</w:t>
      </w:r>
      <w:r>
        <w:rPr>
          <w:iCs/>
          <w:i/>
        </w:rPr>
        <w:t xml:space="preserve"> </w:t>
      </w:r>
      <w:r>
        <w:rPr>
          <w:iCs/>
          <w:i/>
        </w:rPr>
        <w:t xml:space="preserve">dépend pas de l'architecture.</w:t>
      </w:r>
      <w:r>
        <w:t xml:space="preserve"> </w:t>
      </w: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analysis/robustness_granular_vs_category.csv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src/robustness.py:161-177</w:t>
      </w:r>
      <w:r>
        <w:t xml:space="preserve"> </w:t>
      </w:r>
      <w:r>
        <w:t xml:space="preserve">(</w:t>
      </w:r>
      <w:r>
        <w:rPr>
          <w:rStyle w:val="VerbatimChar"/>
        </w:rPr>
        <w:t xml:space="preserve">granular_vs_category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:212</w:t>
      </w:r>
      <w:r>
        <w:t xml:space="preserve">.</w:t>
      </w:r>
    </w:p>
    <w:bookmarkEnd w:id="34"/>
    <w:bookmarkStart w:id="35" w:name="Xed4685cc97e35bb03da49c3e4c95e3cc4e41943"/>
    <w:p>
      <w:pPr>
        <w:pStyle w:val="Heading2"/>
      </w:pPr>
      <w:r>
        <w:t xml:space="preserve">12. Robustesse — longueur des blocs du bootstrap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Longueur de 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P(20 % pire CVaR95)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P(100 % pire CVaR95)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P(20 % ΔSharpe&gt;0)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44,0 %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analysis/robustness_block_length.csv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src/robustness.py:203-208</w:t>
      </w:r>
      <w:r>
        <w:t xml:space="preserve"> </w:t>
      </w:r>
      <w:r>
        <w:t xml:space="preserve">(boucle sur</w:t>
      </w:r>
      <w:r>
        <w:t xml:space="preserve"> </w:t>
      </w:r>
      <w:r>
        <w:rPr>
          <w:rStyle w:val="VerbatimChar"/>
        </w:rPr>
        <w:t xml:space="preserve">bootstrap_ci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:214</w:t>
      </w:r>
      <w:r>
        <w:t xml:space="preserve">.</w:t>
      </w:r>
    </w:p>
    <w:bookmarkEnd w:id="35"/>
    <w:bookmarkStart w:id="36" w:name="X1ac28f5221eb63825b5f36c493ef450934d20ad"/>
    <w:p>
      <w:pPr>
        <w:pStyle w:val="Heading2"/>
      </w:pPr>
      <w:r>
        <w:t xml:space="preserve">13. Comportement en crise (rendement total, net de frais)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Fenêtre de crise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Krach COVID 2020 (janv.–avr.)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−6,08 %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−6,91 %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−8,17 %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−10,29 %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Choc de taux 2022 (déc.21–oct.22)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−11,66 %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−10,57 %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−9,01 %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−6,09 %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bancaire 2023 (févr.–mai)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−0,27 %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−0,72 %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−1,39 %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 :</w:t>
      </w:r>
      <w:r>
        <w:t xml:space="preserve"> </w:t>
      </w:r>
      <w:r>
        <w:rPr>
          <w:rStyle w:val="VerbatimChar"/>
        </w:rPr>
        <w:t xml:space="preserve">analysis/stress_periods.csv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Code :</w:t>
      </w:r>
      <w:r>
        <w:t xml:space="preserve"> </w:t>
      </w:r>
      <w:r>
        <w:rPr>
          <w:rStyle w:val="VerbatimChar"/>
        </w:rPr>
        <w:t xml:space="preserve">src/robustness.py:179-192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stress_table</w:t>
      </w:r>
      <w:r>
        <w:t xml:space="preserve">), écriture</w:t>
      </w:r>
      <w:r>
        <w:t xml:space="preserve"> </w:t>
      </w:r>
      <w:r>
        <w:rPr>
          <w:rStyle w:val="VerbatimChar"/>
        </w:rPr>
        <w:t xml:space="preserve">:213</w:t>
      </w:r>
      <w:r>
        <w:t xml:space="preserve">.</w:t>
      </w:r>
    </w:p>
    <w:bookmarkEnd w:id="36"/>
    <w:bookmarkStart w:id="37" w:name="X612acc7306e3d52ff8bcd3c8b8a502d454a56a3"/>
    <w:p>
      <w:pPr>
        <w:pStyle w:val="Heading2"/>
      </w:pPr>
      <w:r>
        <w:t xml:space="preserve">14. Récapitulatif — chaque résultat, sa source et son code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(fonction)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/ tracking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ap5_validation.csv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analysis_2008.py:112-146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par bande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ap5_validation_band_sensitivity.csv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analysis_2008.py:149-162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par actif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descriptive_stats.csv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analysis_2008.py:164-182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par palier 10 %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perf_full_net.csv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analysis_2008.py:99-108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Poids par palier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book_weights.csv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Obligations par régime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bond_sleeve_by_regime.csv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analysis_2008.py:230-242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par régime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regime_*.csv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analysis_2008.py:216-228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Redondance 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results_manifest.json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analysis_2008.py:184-201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Étape A (une alternative)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single_alt_full_replacement.csv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single_alternatives.py:47-58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Étape A (par dose)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single_alt_sweep.csv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single_alternatives.py:60-71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Mélanges (trié vs égal)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curated_vs_naive.csv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analysis_2008.py:337-349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Benchmarks (actions / cash / asymétrique)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benchmark_portfolios.csv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_sweep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benchmark_portfolios.py:43-90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Optimisations (perf)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appendix_optimisation_perf.csv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appendix_optimization.py:52-87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Optimisations (poids)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appendix_optimisation_weights.csv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appendix_optimization.py:52-87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robustness_bootstrap_ci.csv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robustness.py:83-118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robustness_sensitivity.csv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robustness.py:120-159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Catégorie vs constituant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robustness_granular_vs_category.csv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robustness.py:161-177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Longueur de bloc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robustness_block_length.csv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robustness.py:203-208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stress_periods.csv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robustness.py:179-192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Synthèse officielle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results_manifest.json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analysis_2008.py:405-432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Le dépôt contient aussi d'anciens fichiers de l'étude 2019 (</w:t>
      </w:r>
      <w:r>
        <w:rPr>
          <w:rStyle w:val="VerbatimChar"/>
        </w:rPr>
        <w:t xml:space="preserve">walkforward_*.csv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montecarlo_*.csv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efficient_frontier.csv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asset_stats.csv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portfolio_*.csv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rebalancing_comparison.csv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stress_windows.csv</w:t>
      </w:r>
      <w:r>
        <w:t xml:space="preserve">) : ils sont</w:t>
      </w:r>
      <w:r>
        <w:t xml:space="preserve"> </w:t>
      </w:r>
      <w:r>
        <w:rPr>
          <w:bCs/>
          <w:b/>
        </w:rPr>
        <w:t xml:space="preserve">périmés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remplacés</w:t>
      </w:r>
      <w:r>
        <w:t xml:space="preserve"> </w:t>
      </w:r>
      <w:r>
        <w:t xml:space="preserve">par</w:t>
      </w:r>
      <w:r>
        <w:t xml:space="preserve"> </w:t>
      </w:r>
      <w:r>
        <w:t xml:space="preserve">l'étude 2008–2026 ci-dessus. Ne pas les citer.</w:t>
      </w:r>
    </w:p>
    <w:p>
      <w:pPr>
        <w:pStyle w:val="FirstParagraph"/>
      </w:pPr>
      <w:r>
        <w:t xml:space="preserve">Le détail « quelle ligne fait quoi » est dans</w:t>
      </w:r>
      <w:r>
        <w:t xml:space="preserve"> </w:t>
      </w:r>
      <w:r>
        <w:rPr>
          <w:rStyle w:val="VerbatimChar"/>
        </w:rPr>
        <w:t xml:space="preserve">reports/tracabilite_code_FR.md</w:t>
      </w:r>
      <w:r>
        <w:t xml:space="preserve">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Résultats complets — tous les calculs reliés au code (VZ AP5, 2008–2026)</dc:title>
  <dc:creator/>
  <cp:keywords/>
  <dcterms:created xsi:type="dcterms:W3CDTF">2026-08-20T08:14:21Z</dcterms:created>
  <dcterms:modified xsi:type="dcterms:W3CDTF">2026-08-20T08:14:21Z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