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9251893c2ac26e92393c0c80c14a9e56b89e9f6"/>
    <w:p>
      <w:pPr>
        <w:pStyle w:val="Heading2"/>
      </w:pPr>
      <w:r>
        <w:t xml:space="preserve">1. Goal and research questions</w:t>
      </w:r>
    </w:p>
    <w:p>
      <w:pPr>
        <w:pStyle w:val="FirstParagraph"/>
      </w:pPr>
      <w:r>
        <w:rPr>
          <w:bCs/>
          <w:b/>
        </w:rPr>
        <w:t xml:space="preserve">Goal (one sentence).</w:t>
      </w:r>
      <w:r>
        <w:t xml:space="preserve"> </w:t>
      </w:r>
      <w:r>
        <w:t xml:space="preserve">Decide whether 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of the Swiss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mandate</w:t>
      </w:r>
      <w:r>
        <w:t xml:space="preserve"> </w:t>
      </w:r>
      <w:r>
        <w:t xml:space="preserve">can be replaced by investable alternatives, and</w:t>
      </w:r>
      <w:r>
        <w:t xml:space="preserve"> </w:t>
      </w:r>
      <w:r>
        <w:rPr>
          <w:bCs/>
          <w:b/>
        </w:rPr>
        <w:t xml:space="preserve">at what cost in risk</w:t>
      </w:r>
      <w:r>
        <w:t xml:space="preserve"> </w:t>
      </w:r>
      <w:r>
        <w:t xml:space="preserve">— measured over the full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sample and read across</w:t>
      </w:r>
      <w:r>
        <w:t xml:space="preserve"> </w:t>
      </w:r>
      <w:r>
        <w:rPr>
          <w:bCs/>
          <w:b/>
        </w:rPr>
        <w:t xml:space="preserve">interest-rate regimes</w:t>
      </w:r>
      <w:r>
        <w:t xml:space="preserve">.</w:t>
      </w:r>
    </w:p>
    <w:p>
      <w:pPr>
        <w:pStyle w:val="BodyText"/>
      </w:pPr>
      <w:r>
        <w:t xml:space="preserve">The study answers</w:t>
      </w:r>
      <w:r>
        <w:t xml:space="preserve"> </w:t>
      </w:r>
      <w:r>
        <w:rPr>
          <w:bCs/>
          <w:b/>
        </w:rPr>
        <w:t xml:space="preserve">three plain questions</w:t>
      </w:r>
      <w:r>
        <w:t xml:space="preserve">. Each maps to a formally tested hypothesis, so the</w:t>
      </w:r>
      <w:r>
        <w:t xml:space="preserve"> </w:t>
      </w:r>
      <w:r>
        <w:t xml:space="preserve">simple framing on the left and the statistical test on the right are the same thing: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Plain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Formally tested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— Return.</w:t>
            </w:r>
            <w:r>
              <w:t xml:space="preserve"> </w:t>
            </w:r>
            <w:r>
              <w:t xml:space="preserve">Does replacing bonds change long-run return?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: partial replacement raises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 — Risk.</w:t>
            </w:r>
            <w:r>
              <w:t xml:space="preserve"> </w:t>
            </w:r>
            <w:r>
              <w:t xml:space="preserve">Does it change the downside — deep drawdowns and tail losses?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H2a</w:t>
            </w:r>
            <w:r>
              <w:t xml:space="preserve">: full replacement deepens max drawdown ·</w:t>
            </w:r>
            <w:r>
              <w:t xml:space="preserve"> </w:t>
            </w:r>
            <w:r>
              <w:rPr>
                <w:bCs/>
                <w:b/>
              </w:rPr>
              <w:t xml:space="preserve">H2b</w:t>
            </w:r>
            <w:r>
              <w:t xml:space="preserve">: full replacement worsens tail loss (CVaR)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Q3 — Regime.</w:t>
            </w:r>
            <w:r>
              <w:t xml:space="preserve"> </w:t>
            </w:r>
            <w:r>
              <w:t xml:space="preserve">Does the answer depend on the SNB rate environment?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: the effect is regime-dependent</w:t>
            </w:r>
          </w:p>
        </w:tc>
      </w:tr>
    </w:tbl>
    <w:p>
      <w:pPr>
        <w:pStyle w:val="BodyText"/>
      </w:pPr>
      <w:r>
        <w:t xml:space="preserve">Whether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replacement is preferable to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(previously a separate hypothesis) is</w:t>
      </w:r>
      <w:r>
        <w:t xml:space="preserve"> </w:t>
      </w:r>
      <w:r>
        <w:t xml:space="preserve">treated as a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, answered in §9 — not a fourth test.</w:t>
      </w:r>
    </w:p>
    <w:p>
      <w:pPr>
        <w:pStyle w:val="BodyText"/>
      </w:pPr>
      <w:r>
        <w:rPr>
          <w:iCs/>
          <w:i/>
        </w:rPr>
        <w:t xml:space="preserve">Why bonds are hard to replace:</w:t>
      </w:r>
      <w:r>
        <w:t xml:space="preserve"> </w:t>
      </w:r>
      <w:r>
        <w:t xml:space="preserve">in AP5 they provide</w:t>
      </w:r>
      <w:r>
        <w:t xml:space="preserve"> </w:t>
      </w:r>
      <w:r>
        <w:rPr>
          <w:bCs/>
          <w:b/>
        </w:rPr>
        <w:t xml:space="preserve">return/carry, diversification, liquidity,</w:t>
      </w:r>
      <w:r>
        <w:rPr>
          <w:bCs/>
          <w:b/>
        </w:rPr>
        <w:t xml:space="preserve"> </w:t>
      </w:r>
      <w:r>
        <w:rPr>
          <w:bCs/>
          <w:b/>
        </w:rPr>
        <w:t xml:space="preserve">flight-to-quality and duration</w:t>
      </w:r>
      <w:r>
        <w:t xml:space="preserve"> </w:t>
      </w:r>
      <w:r>
        <w:t xml:space="preserve">at once — no single alternative reproduces all of these, which is</w:t>
      </w:r>
      <w:r>
        <w:t xml:space="preserve"> </w:t>
      </w:r>
      <w:r>
        <w:t xml:space="preserve">the tension the three questions probe.</w:t>
      </w:r>
    </w:p>
    <w:p>
      <w:pPr>
        <w:pStyle w:val="BodyText"/>
      </w:pPr>
      <w:r>
        <w:t xml:space="preserve">Verdicts (developed below, from the bootstrap in §6.3):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82–84%; the 95% CI includes zero at each level).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 </w:t>
      </w:r>
      <w:r>
        <w:t xml:space="preserve">(partial vs full, §9): under the primary category-level</w:t>
      </w:r>
      <w:r>
        <w:t xml:space="preserve"> </w:t>
      </w:r>
      <w:r>
        <w:t xml:space="preserve">specification the Sharpe is</w:t>
      </w:r>
      <w:r>
        <w:t xml:space="preserve"> </w:t>
      </w:r>
      <w:r>
        <w:rPr>
          <w:bCs/>
          <w:b/>
        </w:rPr>
        <w:t xml:space="preserve">flat-to-declining in replacement</w:t>
      </w:r>
      <w:r>
        <w:t xml:space="preserve"> </w:t>
      </w:r>
      <w:r>
        <w:t xml:space="preserve">(highest at AP5, ≈0.48 through</w:t>
      </w:r>
      <w:r>
        <w:t xml:space="preserve"> </w:t>
      </w:r>
      <w:r>
        <w:t xml:space="preserve">~50%, then falling), and every ΔSharpe is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 </w:t>
      </w:r>
      <w:r>
        <w:t xml:space="preserve">— so partial replacement is a</w:t>
      </w:r>
      <w:r>
        <w:t xml:space="preserve"> </w:t>
      </w:r>
      <w:r>
        <w:t xml:space="preserve">defensible return-and-risk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improvement, and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validation is</w:t>
      </w:r>
      <w:r>
        <w:t xml:space="preserve"> </w:t>
      </w:r>
      <w:r>
        <w:rPr>
          <w:bCs/>
          <w:b/>
        </w:rPr>
        <w:t xml:space="preserve">almost independent of the monitoring band</w:t>
      </w:r>
      <w:r>
        <w:t xml:space="preserve">, because VZ's recorded target</w:t>
      </w:r>
      <w:r>
        <w:t xml:space="preserve"> </w:t>
      </w:r>
      <w:r>
        <w:t xml:space="preserve">drift drives most rebalances and the band only triggers between recorded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analysis/ap5_validation_band_sensitivity.csv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Validation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(ann.)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±5%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±8% (main-model band)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</w:t>
            </w:r>
          </w:p>
        </w:tc>
      </w:tr>
    </w:tbl>
    <w:p>
      <w:pPr>
        <w:pStyle w:val="BodyText"/>
      </w:pPr>
      <w:r>
        <w:t xml:space="preserve">So the excellent validation is</w:t>
      </w:r>
      <w:r>
        <w:t xml:space="preserve"> </w:t>
      </w:r>
      <w:r>
        <w:rPr>
          <w:bCs/>
          <w:b/>
        </w:rPr>
        <w:t xml:space="preserve">not an artefact of the tight 5% band</w:t>
      </w:r>
      <w:r>
        <w:t xml:space="preserve"> </w:t>
      </w:r>
      <w:r>
        <w:t xml:space="preserve">— it holds equally at the</w:t>
      </w:r>
      <w:r>
        <w:t xml:space="preserve"> </w:t>
      </w:r>
      <w:r>
        <w:t xml:space="preserve">±8% base band used by the main model.</w:t>
      </w:r>
    </w:p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investors).</w:t>
      </w:r>
      <w:r>
        <w:t xml:space="preserve"> </w:t>
      </w:r>
      <w:r>
        <w:t xml:space="preserve">For EM debt a CHF-hedged UCITS vehicle is directly available (e.g. iShares J.P. Morgan $ EM Bond</w:t>
      </w:r>
      <w:r>
        <w:t xml:space="preserve"> </w:t>
      </w:r>
      <w:r>
        <w:t xml:space="preserve">CHF-Hedged UCITS ETF,</w:t>
      </w:r>
      <w:r>
        <w:t xml:space="preserve"> </w:t>
      </w:r>
      <w:r>
        <w:rPr>
          <w:iCs/>
          <w:i/>
        </w:rPr>
        <w:t xml:space="preserve">EMBC</w:t>
      </w:r>
      <w:r>
        <w:t xml:space="preserve">); for US high yield the CHF-hedged UCITS listing is less</w:t>
      </w:r>
      <w:r>
        <w:t xml:space="preserve"> </w:t>
      </w:r>
      <w:r>
        <w:t xml:space="preserve">standardised, so Swiss implementation of the HY leg requires an appropriate local/UCITS vehicle</w:t>
      </w:r>
      <w:r>
        <w:t xml:space="preserve"> </w:t>
      </w:r>
      <w:r>
        <w:t xml:space="preserve">(e.g. a CHF-hedged global-HY UCITS) rather than a like-for-like HYG hedge share.</w:t>
      </w:r>
      <w:r>
        <w:t xml:space="preserve"> </w:t>
      </w:r>
      <w:r>
        <w:t xml:space="preserve">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global-HY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 (EMBC)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with histories beginning in 2008 that satisfy this rule (EM debt begins 2008-02, which fixes the</w:t>
      </w:r>
      <w:r>
        <w:t xml:space="preserve"> </w:t>
      </w:r>
      <w:r>
        <w:t xml:space="preserve">common sample window for every book at 2008-02 – 2026-06); convertibles are a candidate class</w:t>
      </w:r>
      <w:r>
        <w:t xml:space="preserve"> </w:t>
      </w:r>
      <w:r>
        <w:t xml:space="preserve">analysed 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Global-rate context (secondary).</w:t>
      </w:r>
      <w:r>
        <w:t xml:space="preserve"> </w:t>
      </w:r>
      <w:r>
        <w:t xml:space="preserve">The four regimes are classified on the</w:t>
      </w:r>
      <w:r>
        <w:t xml:space="preserve"> </w:t>
      </w:r>
      <w:r>
        <w:rPr>
          <w:bCs/>
          <w:b/>
        </w:rPr>
        <w:t xml:space="preserve">SNB policy path</w:t>
      </w:r>
      <w:r>
        <w:t xml:space="preserve"> </w:t>
      </w:r>
      <w:r>
        <w:t xml:space="preserve">— the correct primary lens for a CHF-based Swiss investor with a Swiss local-bond allocation and</w:t>
      </w:r>
      <w:r>
        <w:t xml:space="preserve"> </w:t>
      </w:r>
      <w:r>
        <w:t xml:space="preserve">a CHF cash benchmark. Because the World-Bond sleeve is 25.2% of AP5 and internationally exposed,</w:t>
      </w:r>
      <w:r>
        <w:t xml:space="preserve"> </w:t>
      </w:r>
      <w:r>
        <w:t xml:space="preserve">we report the</w:t>
      </w:r>
      <w:r>
        <w:t xml:space="preserve"> </w:t>
      </w:r>
      <w:r>
        <w:rPr>
          <w:bCs/>
          <w:b/>
        </w:rPr>
        <w:t xml:space="preserve">Fed policy rate</w:t>
      </w:r>
      <w:r>
        <w:t xml:space="preserve"> </w:t>
      </w:r>
      <w:r>
        <w:t xml:space="preserve">at each regime's boundaries as secondary context (not a</w:t>
      </w:r>
      <w:r>
        <w:t xml:space="preserve"> </w:t>
      </w:r>
      <w:r>
        <w:t xml:space="preserve">reclassification): R1 SNB +2.75%→−0.25% / Fed 3.00%→0.12%; R2 SNB −0.75% flat / Fed 0.12%→0.88%;</w:t>
      </w:r>
      <w:r>
        <w:t xml:space="preserve"> </w:t>
      </w:r>
      <w:r>
        <w:t xml:space="preserve">R3 SNB −0.25%→+1.75% / Fed 1.62%→5.38%; R4 SNB +1.50%→0.00% / Fed 5.38%→3.62%. SNB and Fed cycles</w:t>
      </w:r>
      <w:r>
        <w:t xml:space="preserve"> </w:t>
      </w:r>
      <w:r>
        <w:t xml:space="preserve">broadly co-move but with different timing and amplitude — which is precisely why the world-bond</w:t>
      </w:r>
      <w:r>
        <w:t xml:space="preserve"> </w:t>
      </w:r>
      <w:r>
        <w:t xml:space="preserve">tranche (Global Aggregate) behaves differently from the Swiss tranche within the same SNB regime.</w:t>
      </w:r>
    </w:p>
    <w:p>
      <w:pPr>
        <w:pStyle w:val="FirstParagraph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In the 2022–24 tightening the</w:t>
      </w:r>
      <w:r>
        <w:t xml:space="preserve"> </w:t>
      </w:r>
      <w:r>
        <w:rPr>
          <w:bCs/>
          <w:b/>
        </w:rPr>
        <w:t xml:space="preserve">broad global</w:t>
      </w:r>
      <w:r>
        <w:rPr>
          <w:bCs/>
          <w:b/>
        </w:rPr>
        <w:t xml:space="preserve"> </w:t>
      </w:r>
      <w:r>
        <w:rPr>
          <w:bCs/>
          <w:b/>
        </w:rPr>
        <w:t xml:space="preserve">bond tranche was hit hardest (−2.9%/yr) while Swiss bonds stayed positive (+1.6%/yr)</w:t>
      </w:r>
      <w:r>
        <w:t xml:space="preserve">, and within</w:t>
      </w:r>
      <w:r>
        <w:t xml:space="preserve"> </w:t>
      </w:r>
      <w:r>
        <w:t xml:space="preserve">the global tranche the short-duration series lost far less than the broad one (−1.2% vs −2.9%) —</w:t>
      </w:r>
      <w:r>
        <w:t xml:space="preserve"> </w:t>
      </w:r>
      <w:r>
        <w:t xml:space="preserve">a pattern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with Sharpe</w:t>
      </w:r>
      <w:r>
        <w:rPr>
          <w:bCs/>
          <w:b/>
        </w:rPr>
        <w:t xml:space="preserve"> </w:t>
      </w:r>
      <w:r>
        <w:rPr>
          <w:bCs/>
          <w:b/>
        </w:rPr>
        <w:t xml:space="preserve">roughly flat (~0.48) up to ~50% and then declining to ~0.46 at full replacement.</w:t>
      </w:r>
      <w:r>
        <w:t xml:space="preserve"> </w:t>
      </w:r>
      <w:r>
        <w:t xml:space="preserve">That clean</w:t>
      </w:r>
      <w:r>
        <w:t xml:space="preserve"> </w:t>
      </w:r>
      <w:r>
        <w:t xml:space="preserve">monotonic risk–return trade-off is the central finding. Under this (primary) category-level</w:t>
      </w:r>
      <w:r>
        <w:t xml:space="preserve"> </w:t>
      </w:r>
      <w:r>
        <w:t xml:space="preserve">specification the point-estimate Sharpe is</w:t>
      </w:r>
      <w:r>
        <w:t xml:space="preserve"> </w:t>
      </w:r>
      <w:r>
        <w:rPr>
          <w:bCs/>
          <w:b/>
        </w:rPr>
        <w:t xml:space="preserve">highest at AP5 / low replacement and never rises</w:t>
      </w:r>
      <w:r>
        <w:rPr>
          <w:bCs/>
          <w:b/>
        </w:rPr>
        <w:t xml:space="preserve"> </w:t>
      </w:r>
      <w:r>
        <w:rPr>
          <w:bCs/>
          <w:b/>
        </w:rPr>
        <w:t xml:space="preserve">above it</w:t>
      </w:r>
      <w:r>
        <w:t xml:space="preserve"> </w:t>
      </w:r>
      <w:r>
        <w:t xml:space="preserve">— i.e.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; low-to-moderate replacement is</w:t>
      </w:r>
      <w:r>
        <w:t xml:space="preserve"> </w:t>
      </w:r>
      <w:r>
        <w:t xml:space="preserve">approximately</w:t>
      </w:r>
      <w:r>
        <w:t xml:space="preserve"> </w:t>
      </w:r>
      <w:r>
        <w:rPr>
          <w:iCs/>
          <w:i/>
        </w:rPr>
        <w:t xml:space="preserve">Sharpe-neutral</w:t>
      </w:r>
      <w:r>
        <w:t xml:space="preserve"> </w:t>
      </w:r>
      <w:r>
        <w:t xml:space="preserve">while adding return-and-risk, and full replacement is weakly worse</w:t>
      </w:r>
      <w:r>
        <w:t xml:space="preserve"> </w:t>
      </w:r>
      <w:r>
        <w:t xml:space="preserve">on Sharpe and clearly worse on downside.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[−0.14, +0.11] ·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82–84%,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0, and P(ΔSharpe&gt;0) is ≤ 45% throughout — the point estimate slightly</w:t>
      </w:r>
      <w:r>
        <w:t xml:space="preserve"> </w:t>
      </w:r>
      <w:r>
        <w:rPr>
          <w:iCs/>
          <w:i/>
        </w:rPr>
        <w:t xml:space="preserve">favours AP5</w:t>
      </w:r>
      <w:r>
        <w:t xml:space="preserve">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 probability from a 20%</w:t>
      </w:r>
      <w:r>
        <w:t xml:space="preserve"> </w:t>
      </w:r>
      <w:r>
        <w:t xml:space="preserve">replacement (robust to the 90% vs 95% CVaR threshold and to bootstrap block lengths of 3/6/12</w:t>
      </w:r>
      <w:r>
        <w:t xml:space="preserve"> </w:t>
      </w:r>
      <w:r>
        <w:t xml:space="preserve">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</w:t>
      </w:r>
      <w:r>
        <w:t xml:space="preserve"> </w:t>
      </w:r>
      <w:r>
        <w:t xml:space="preserve">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(Sharpe flat-to-declining in replacement; full replacement deepens downside) is</w:t>
      </w:r>
      <w:r>
        <w:t xml:space="preserve"> </w:t>
      </w:r>
      <w:r>
        <w:t xml:space="preserve">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in every single tested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specification, and worsens CVaR95 in every one as well</w:t>
      </w:r>
      <w:r>
        <w:t xml:space="preserve"> </w:t>
      </w:r>
      <w:r>
        <w:t xml:space="preserve">(the sensitivity matrix now reports</w:t>
      </w:r>
      <w:r>
        <w:t xml:space="preserve"> </w:t>
      </w:r>
      <w:r>
        <w:rPr>
          <w:rStyle w:val="VerbatimChar"/>
        </w:rPr>
        <w:t xml:space="preserve">AP5_CVaR95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repl100_CVaR95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alongside drawdown, and the bootstrap</w:t>
      </w:r>
      <w:r>
        <w:t xml:space="preserve"> </w:t>
      </w:r>
      <w:r>
        <w:t xml:space="preserve">confirms the same tail-loss deterioration with ≈100% probability). Under the primary</w:t>
      </w:r>
      <w:r>
        <w:t xml:space="preserve"> </w:t>
      </w:r>
      <w:r>
        <w:t xml:space="preserve">category-level specification</w:t>
      </w:r>
      <w:r>
        <w:t xml:space="preserve"> </w:t>
      </w:r>
      <w:r>
        <w:rPr>
          <w:bCs/>
          <w:b/>
        </w:rPr>
        <w:t xml:space="preserve">partial replacement is essentially Sharpe-neutral, not</w:t>
      </w:r>
      <w:r>
        <w:rPr>
          <w:bCs/>
          <w:b/>
        </w:rPr>
        <w:t xml:space="preserve"> </w:t>
      </w:r>
      <w:r>
        <w:rPr>
          <w:bCs/>
          <w:b/>
        </w:rPr>
        <w:t xml:space="preserve">Sharpe-superior</w:t>
      </w:r>
      <w:r>
        <w:t xml:space="preserve">: at the base ±8% band, repl-20 Sharpe 0.482 is a hair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AP5 0.483, and</w:t>
      </w:r>
      <w:r>
        <w:t xml:space="preserve"> </w:t>
      </w:r>
      <w:r>
        <w:t xml:space="preserve">across the band/cost grid partial replacement is at best tied with AP5 (it edges marginally ahead</w:t>
      </w:r>
      <w:r>
        <w:t xml:space="preserve"> </w:t>
      </w:r>
      <w:r>
        <w:t xml:space="preserve">only at the widest ±15% band and in the 2010+ sub-sample). Leaving HY/EM</w:t>
      </w:r>
      <w:r>
        <w:t xml:space="preserve"> </w:t>
      </w:r>
      <w:r>
        <w:rPr>
          <w:bCs/>
          <w:b/>
        </w:rPr>
        <w:t xml:space="preserve">unhedged</w:t>
      </w:r>
      <w:r>
        <w:t xml:space="preserve"> </w:t>
      </w:r>
      <w:r>
        <w:t xml:space="preserve">widens the</w:t>
      </w:r>
      <w:r>
        <w:t xml:space="preserve"> </w:t>
      </w:r>
      <w:r>
        <w:t xml:space="preserve">gap the other way (repl-20 0.476 vs AP5 0.483; repl-100 0.442 vs 0.461). So the robust,</w:t>
      </w:r>
      <w:r>
        <w:t xml:space="preserve"> </w:t>
      </w:r>
      <w:r>
        <w:t xml:space="preserve">unconditional result is unchanged and if anything sharper:</w:t>
      </w:r>
      <w:r>
        <w:t xml:space="preserve"> </w:t>
      </w:r>
      <w:r>
        <w:rPr>
          <w:bCs/>
          <w:b/>
        </w:rPr>
        <w:t xml:space="preserve">full replacement clearly worsens</w:t>
      </w:r>
      <w:r>
        <w:rPr>
          <w:bCs/>
          <w:b/>
        </w:rPr>
        <w:t xml:space="preserve"> </w:t>
      </w:r>
      <w:r>
        <w:rPr>
          <w:bCs/>
          <w:b/>
        </w:rPr>
        <w:t xml:space="preserve">downside and does not improve Sharpe; partial replacement buys extra return-and-risk at roughly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Sharpe.</w:t>
      </w:r>
      <w:r>
        <w:t xml:space="preserve"> </w:t>
      </w: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specification in which replacement delivers a</w:t>
      </w:r>
      <w:r>
        <w:t xml:space="preserve"> </w:t>
      </w:r>
      <w:r>
        <w:rPr>
          <w:iCs/>
          <w:i/>
        </w:rPr>
        <w:t xml:space="preserve">reliable</w:t>
      </w:r>
      <w:r>
        <w:t xml:space="preserve"> </w:t>
      </w:r>
      <w:r>
        <w:t xml:space="preserve">risk-adjusted advantage. (The 2010+ sample also changes 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p>
      <w:pPr>
        <w:pStyle w:val="BodyText"/>
      </w:pPr>
      <w:r>
        <w:t xml:space="preserve">The conclusion is also</w:t>
      </w:r>
      <w:r>
        <w:t xml:space="preserve"> </w:t>
      </w:r>
      <w:r>
        <w:rPr>
          <w:bCs/>
          <w:b/>
        </w:rPr>
        <w:t xml:space="preserve">robust to the band architecture itself</w:t>
      </w:r>
      <w:r>
        <w:t xml:space="preserve">: monitoring every constituent</w:t>
      </w:r>
      <w:r>
        <w:t xml:space="preserve"> </w:t>
      </w:r>
      <w:r>
        <w:t xml:space="preserve">with its own ±8% band rebalances far more often but leaves CAGR/Sharpe/MaxDD essentially</w:t>
      </w:r>
      <w:r>
        <w:t xml:space="preserve"> </w:t>
      </w:r>
      <w:r>
        <w:t xml:space="preserve">identical, confirming the category-level primary specification is not doing the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analysis/robustness_granular_vs_category.csv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CAGR / Sharpe / 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rebalances (AP5 / 20 /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 / 0.48 / 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Per-constituent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 / 0.48 / 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materially affects the results, in addition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replacement fraction</w:t>
      </w:r>
      <w:r>
        <w:t xml:space="preserve"> </w:t>
      </w:r>
      <w:r>
        <w:t xml:space="preserve">— a 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Under the category-level specification the Sharpe</w:t>
      </w:r>
      <w:r>
        <w:t xml:space="preserve"> </w:t>
      </w:r>
      <w:r>
        <w:t xml:space="preserve">is essentially</w:t>
      </w:r>
      <w:r>
        <w:t xml:space="preserve"> </w:t>
      </w:r>
      <w:r>
        <w:rPr>
          <w:bCs/>
          <w:b/>
        </w:rPr>
        <w:t xml:space="preserve">flat (~0.48) from AP5 through ~50% replacement</w:t>
      </w:r>
      <w:r>
        <w:t xml:space="preserve"> </w:t>
      </w:r>
      <w:r>
        <w:t xml:space="preserve">and then declines —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 </w:t>
      </w:r>
      <w:r>
        <w:t xml:space="preserve">and no level statistically distinguishable from AP5 on</w:t>
      </w:r>
      <w:r>
        <w:t xml:space="preserve"> </w:t>
      </w:r>
      <w:r>
        <w:t xml:space="preserve">risk-adjusted return. Low-to-moderate replacement is therefore a defensible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that</w:t>
      </w:r>
      <w:r>
        <w:t xml:space="preserve"> </w:t>
      </w:r>
      <w:r>
        <w:t xml:space="preserve">adds return-and-risk at roughly constant Sharpe,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unique optimum. If the goal is unchanged risk-adjusted performance with more return (and the</w:t>
      </w:r>
      <w:r>
        <w:t xml:space="preserve"> </w:t>
      </w:r>
      <w:r>
        <w:t xml:space="preserve">investor accepts the deeper tail loss), a low replacement fraction is the honest sweet spot;</w:t>
      </w:r>
      <w:r>
        <w:t xml:space="preserve"> </w:t>
      </w:r>
      <w:r>
        <w:t xml:space="preserve">if the goal is to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Sharpe, the evidence supports</w:t>
      </w:r>
      <w:r>
        <w:t xml:space="preserve"> </w:t>
      </w:r>
      <w:r>
        <w:rPr>
          <w:bCs/>
          <w:b/>
        </w:rPr>
        <w:t xml:space="preserve">no replacement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3"/>
        </w:numPr>
        <w:pStyle w:val="Compact"/>
      </w:pPr>
      <w:r>
        <w:t xml:space="preserve">Instrument selection matters (§8), but should be validated out-of-sample before use.</w:t>
      </w:r>
    </w:p>
    <w:p>
      <w:pPr>
        <w:pStyle w:val="FirstParagraph"/>
      </w:pPr>
      <w:r>
        <w:rPr>
          <w:bCs/>
          <w:b/>
        </w:rPr>
        <w:t xml:space="preserve">Framing.</w:t>
      </w:r>
      <w:r>
        <w:t xml:space="preserve"> </w:t>
      </w:r>
      <w:r>
        <w:t xml:space="preserve">The monotone chain the data show —</w:t>
      </w:r>
      <w:r>
        <w:t xml:space="preserve"> </w:t>
      </w:r>
      <w:r>
        <w:rPr>
          <w:iCs/>
          <w:i/>
        </w:rPr>
        <w:t xml:space="preserve">more replacement → more return → more volatility</w:t>
      </w:r>
      <w:r>
        <w:rPr>
          <w:iCs/>
          <w:i/>
        </w:rPr>
        <w:t xml:space="preserve"> </w:t>
      </w:r>
      <w:r>
        <w:rPr>
          <w:iCs/>
          <w:i/>
        </w:rPr>
        <w:t xml:space="preserve">→ more tail loss, with no reliable Sharpe gain</w:t>
      </w:r>
      <w:r>
        <w:t xml:space="preserve"> </w:t>
      </w:r>
      <w:r>
        <w:t xml:space="preserve">— is not the signature of discovering a superior</w:t>
      </w:r>
      <w:r>
        <w:t xml:space="preserve"> </w:t>
      </w:r>
      <w:r>
        <w:t xml:space="preserve">defensive asset class; it is the signature of</w:t>
      </w:r>
      <w:r>
        <w:t xml:space="preserve"> </w:t>
      </w:r>
      <w:r>
        <w:rPr>
          <w:bCs/>
          <w:b/>
        </w:rPr>
        <w:t xml:space="preserve">spending more of the portfolio's risk budget</w:t>
      </w:r>
      <w:r>
        <w:t xml:space="preserve">.</w:t>
      </w:r>
      <w:r>
        <w:t xml:space="preserve"> </w:t>
      </w:r>
      <w:r>
        <w:t xml:space="preserve">Bond replacement should therefore be interpreted as a</w:t>
      </w:r>
      <w:r>
        <w:t xml:space="preserve"> </w:t>
      </w:r>
      <w:r>
        <w:rPr>
          <w:bCs/>
          <w:b/>
        </w:rPr>
        <w:t xml:space="preserve">strategic reallocation of defensive risk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as a search for a one-for-one bond substitute</w:t>
      </w:r>
      <w:r>
        <w:t xml:space="preserve">: the decision is how much crash- and</w:t>
      </w:r>
      <w:r>
        <w:t xml:space="preserve"> </w:t>
      </w:r>
      <w:r>
        <w:t xml:space="preserve">duration-protection the investor is willing to trade for carry and inflation exposure, not</w:t>
      </w:r>
      <w:r>
        <w:t xml:space="preserve"> </w:t>
      </w:r>
      <w:r>
        <w:t xml:space="preserve">whether some alternative "beats" bonds outright.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2026-08-16T22:43:17Z</dcterms:created>
  <dcterms:modified xsi:type="dcterms:W3CDTF">2026-08-16T22:43:17Z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