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sz w:val="24"/>
          <w:szCs w:val="24"/>
        </w:rPr>
        <w:t xml:space="preserve"/>
      </w:r>
    </w:p>
    <w:p>
      <w:pPr>
        <w:spacing w:after="240" w:before="0"/>
        <w:jc w:val="center"/>
      </w:pPr>
      <w:r>
        <w:rPr>
          <w:rFonts w:ascii="Arial" w:cs="Arial" w:eastAsia="Arial" w:hAnsi="Arial"/>
          <w:b/>
          <w:bCs/>
          <w:color w:val="1F4E79"/>
          <w:sz w:val="48"/>
          <w:szCs w:val="48"/>
        </w:rPr>
        <w:t xml:space="preserve">BOND REPLACEMENT ASSET CLASSES</w:t>
      </w:r>
    </w:p>
    <w:p>
      <w:pPr>
        <w:spacing w:after="120" w:before="0"/>
        <w:jc w:val="center"/>
      </w:pPr>
      <w:r>
        <w:rPr>
          <w:rFonts w:ascii="Arial" w:cs="Arial" w:eastAsia="Arial" w:hAnsi="Arial"/>
          <w:i/>
          <w:iCs/>
          <w:color w:val="2E75B6"/>
          <w:sz w:val="26"/>
          <w:szCs w:val="26"/>
        </w:rPr>
        <w:t xml:space="preserve">Diversification Strategies for a CHF-Denominated Portfolio</w:t>
      </w:r>
    </w:p>
    <w:p>
      <w:pPr>
        <w:spacing w:after="600" w:before="0"/>
        <w:jc w:val="center"/>
      </w:pPr>
      <w:r>
        <w:rPr>
          <w:rFonts w:ascii="Arial" w:cs="Arial" w:eastAsia="Arial" w:hAnsi="Arial"/>
          <w:i/>
          <w:iCs/>
          <w:color w:val="2E75B6"/>
          <w:sz w:val="26"/>
          <w:szCs w:val="26"/>
        </w:rPr>
        <w:t xml:space="preserve">in Low-Rate Environments</w:t>
      </w:r>
    </w:p>
    <w:p>
      <w:pPr>
        <w:pBdr>
          <w:bottom w:val="single" w:color="2E75B6" w:sz="12" w:space="1"/>
        </w:pBdr>
        <w:spacing w:after="0" w:before="0"/>
      </w:pPr>
      <w:r>
        <w:rPr>
          <w:rFonts w:ascii="Arial" w:cs="Arial" w:eastAsia="Arial" w:hAnsi="Arial"/>
          <w:sz w:val="20"/>
          <w:szCs w:val="20"/>
        </w:rPr>
        <w:t xml:space="preserve"/>
      </w:r>
    </w:p>
    <w:p>
      <w:pPr>
        <w:spacing w:before="600"/>
      </w:pPr>
      <w:r>
        <w:rPr>
          <w:rFonts w:ascii="Arial" w:cs="Arial" w:eastAsia="Arial" w:hAnsi="Arial"/>
          <w:sz w:val="20"/>
          <w:szCs w:val="20"/>
        </w:rPr>
        <w:t xml:space="preserve"/>
      </w:r>
    </w:p>
    <w:p>
      <w:pPr>
        <w:spacing w:after="100" w:before="0"/>
        <w:jc w:val="center"/>
      </w:pPr>
      <w:r>
        <w:rPr>
          <w:rFonts w:ascii="Arial" w:cs="Arial" w:eastAsia="Arial" w:hAnsi="Arial"/>
          <w:b/>
          <w:bCs/>
          <w:color w:val="262626"/>
          <w:sz w:val="24"/>
          <w:szCs w:val="24"/>
        </w:rPr>
        <w:t xml:space="preserve">Master of Finance Analysis</w:t>
      </w:r>
    </w:p>
    <w:p>
      <w:pPr>
        <w:spacing w:after="1200" w:before="0"/>
        <w:jc w:val="center"/>
      </w:pPr>
      <w:r>
        <w:rPr>
          <w:rFonts w:ascii="Arial" w:cs="Arial" w:eastAsia="Arial" w:hAnsi="Arial"/>
          <w:color w:val="262626"/>
          <w:sz w:val="22"/>
          <w:szCs w:val="22"/>
        </w:rPr>
        <w:t xml:space="preserve">Portfolio Construction Under NIRP and Zero-Rate Regimes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2"/>
              <w:left w:val="single" w:color="1F4E79" w:sz="12"/>
              <w:bottom w:val="single" w:color="1F4E79" w:sz="12"/>
              <w:right w:val="single" w:color="1F4E79"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PORTFOLIO UNDER ANALYSIS</w:t>
            </w:r>
          </w:p>
          <w:p>
            <w:pPr>
              <w:spacing w:after="40" w:before="40" w:line="280"/>
            </w:pPr>
            <w:r>
              <w:rPr>
                <w:rFonts w:ascii="Arial" w:cs="Arial" w:eastAsia="Arial" w:hAnsi="Arial"/>
                <w:b/>
                <w:bCs/>
                <w:i w:val="false"/>
                <w:iCs w:val="false"/>
                <w:color w:val="262626"/>
                <w:sz w:val="20"/>
                <w:szCs w:val="20"/>
              </w:rPr>
              <w:t xml:space="preserve">Currency: </w:t>
            </w:r>
            <w:r>
              <w:rPr>
                <w:rFonts w:ascii="Arial" w:cs="Arial" w:eastAsia="Arial" w:hAnsi="Arial"/>
                <w:b w:val="false"/>
                <w:bCs w:val="false"/>
                <w:i w:val="false"/>
                <w:iCs w:val="false"/>
                <w:color w:val="262626"/>
                <w:sz w:val="20"/>
                <w:szCs w:val="20"/>
              </w:rPr>
              <w:t xml:space="preserve">CHF (Swiss Franc)</w:t>
            </w:r>
          </w:p>
          <w:p>
            <w:pPr>
              <w:spacing w:after="40" w:before="40" w:line="280"/>
            </w:pPr>
            <w:r>
              <w:rPr>
                <w:rFonts w:ascii="Arial" w:cs="Arial" w:eastAsia="Arial" w:hAnsi="Arial"/>
                <w:b/>
                <w:bCs/>
                <w:i w:val="false"/>
                <w:iCs w:val="false"/>
                <w:color w:val="262626"/>
                <w:sz w:val="20"/>
                <w:szCs w:val="20"/>
              </w:rPr>
              <w:t xml:space="preserve">Total Bond Sleeve: </w:t>
            </w:r>
            <w:r>
              <w:rPr>
                <w:rFonts w:ascii="Arial" w:cs="Arial" w:eastAsia="Arial" w:hAnsi="Arial"/>
                <w:b w:val="false"/>
                <w:bCs w:val="false"/>
                <w:i w:val="false"/>
                <w:iCs w:val="false"/>
                <w:color w:val="262626"/>
                <w:sz w:val="20"/>
                <w:szCs w:val="20"/>
              </w:rPr>
              <w:t xml:space="preserve">42% (18% Swiss + 24% World, AAA–BBB sovereign)</w:t>
            </w:r>
          </w:p>
          <w:p>
            <w:pPr>
              <w:spacing w:after="40" w:before="40" w:line="280"/>
            </w:pPr>
            <w:r>
              <w:rPr>
                <w:rFonts w:ascii="Arial" w:cs="Arial" w:eastAsia="Arial" w:hAnsi="Arial"/>
                <w:b/>
                <w:bCs/>
                <w:i w:val="false"/>
                <w:iCs w:val="false"/>
                <w:color w:val="262626"/>
                <w:sz w:val="20"/>
                <w:szCs w:val="20"/>
              </w:rPr>
              <w:t xml:space="preserve">Equity Sleeve: </w:t>
            </w:r>
            <w:r>
              <w:rPr>
                <w:rFonts w:ascii="Arial" w:cs="Arial" w:eastAsia="Arial" w:hAnsi="Arial"/>
                <w:b w:val="false"/>
                <w:bCs w:val="false"/>
                <w:i w:val="false"/>
                <w:iCs w:val="false"/>
                <w:color w:val="262626"/>
                <w:sz w:val="20"/>
                <w:szCs w:val="20"/>
              </w:rPr>
              <w:t xml:space="preserve">50% (25% Swiss + 25% World, MSCI World benchmark)</w:t>
            </w:r>
          </w:p>
          <w:p>
            <w:pPr>
              <w:spacing w:after="40" w:before="40" w:line="280"/>
            </w:pPr>
            <w:r>
              <w:rPr>
                <w:rFonts w:ascii="Arial" w:cs="Arial" w:eastAsia="Arial" w:hAnsi="Arial"/>
                <w:b/>
                <w:bCs/>
                <w:i w:val="false"/>
                <w:iCs w:val="false"/>
                <w:color w:val="262626"/>
                <w:sz w:val="20"/>
                <w:szCs w:val="20"/>
              </w:rPr>
              <w:t xml:space="preserve">Real Estate: </w:t>
            </w:r>
            <w:r>
              <w:rPr>
                <w:rFonts w:ascii="Arial" w:cs="Arial" w:eastAsia="Arial" w:hAnsi="Arial"/>
                <w:b w:val="false"/>
                <w:bCs w:val="false"/>
                <w:i w:val="false"/>
                <w:iCs w:val="false"/>
                <w:color w:val="262626"/>
                <w:sz w:val="20"/>
                <w:szCs w:val="20"/>
              </w:rPr>
              <w:t xml:space="preserve">5% Swiss (excluded as bond replacement)</w:t>
            </w:r>
          </w:p>
          <w:p>
            <w:pPr>
              <w:spacing w:after="40" w:before="40" w:line="280"/>
            </w:pPr>
            <w:r>
              <w:rPr>
                <w:rFonts w:ascii="Arial" w:cs="Arial" w:eastAsia="Arial" w:hAnsi="Arial"/>
                <w:b/>
                <w:bCs/>
                <w:i w:val="false"/>
                <w:iCs w:val="false"/>
                <w:color w:val="262626"/>
                <w:sz w:val="20"/>
                <w:szCs w:val="20"/>
              </w:rPr>
              <w:t xml:space="preserve">Liquidity: </w:t>
            </w:r>
            <w:r>
              <w:rPr>
                <w:rFonts w:ascii="Arial" w:cs="Arial" w:eastAsia="Arial" w:hAnsi="Arial"/>
                <w:b w:val="false"/>
                <w:bCs w:val="false"/>
                <w:i w:val="false"/>
                <w:iCs w:val="false"/>
                <w:color w:val="262626"/>
                <w:sz w:val="20"/>
                <w:szCs w:val="20"/>
              </w:rPr>
              <w:t xml:space="preserve">3% CHF money market</w:t>
            </w:r>
          </w:p>
        </w:tc>
      </w:tr>
    </w:tbl>
    <w:p>
      <w:pPr>
        <w:spacing w:before="1200"/>
      </w:pPr>
      <w:r>
        <w:rPr>
          <w:rFonts w:ascii="Arial" w:cs="Arial" w:eastAsia="Arial" w:hAnsi="Arial"/>
          <w:sz w:val="20"/>
          <w:szCs w:val="20"/>
        </w:rPr>
        <w:t xml:space="preserve"/>
      </w:r>
    </w:p>
    <w:p>
      <w:pPr>
        <w:spacing w:after="0" w:before="0"/>
        <w:jc w:val="center"/>
      </w:pPr>
      <w:r>
        <w:rPr>
          <w:rFonts w:ascii="Arial" w:cs="Arial" w:eastAsia="Arial" w:hAnsi="Arial"/>
          <w:i/>
          <w:iCs/>
          <w:color w:val="262626"/>
          <w:sz w:val="22"/>
          <w:szCs w:val="22"/>
        </w:rPr>
        <w:t xml:space="preserve">Geneva — May 2026</w:t>
      </w:r>
    </w:p>
    <w:p>
      <w:r>
        <w:br w:type="page"/>
      </w:r>
    </w:p>
    <w:p>
      <w:pPr>
        <w:pStyle w:val="Heading1"/>
        <w:spacing w:after="200" w:before="360"/>
      </w:pPr>
      <w:r>
        <w:rPr>
          <w:rFonts w:ascii="Arial" w:cs="Arial" w:eastAsia="Arial" w:hAnsi="Arial"/>
          <w:b/>
          <w:bCs/>
          <w:color w:val="1F4E79"/>
          <w:sz w:val="32"/>
          <w:szCs w:val="32"/>
        </w:rPr>
        <w:t xml:space="preserve">Executive Summary</w:t>
      </w:r>
    </w:p>
    <w:p>
      <w:pPr>
        <w:spacing w:after="80" w:before="80" w:line="280"/>
        <w:jc w:val="left"/>
      </w:pPr>
      <w:r>
        <w:rPr>
          <w:rFonts w:ascii="Arial" w:cs="Arial" w:eastAsia="Arial" w:hAnsi="Arial"/>
          <w:b w:val="false"/>
          <w:bCs w:val="false"/>
          <w:i w:val="false"/>
          <w:iCs w:val="false"/>
          <w:color w:val="262626"/>
          <w:sz w:val="20"/>
          <w:szCs w:val="20"/>
        </w:rPr>
        <w:t xml:space="preserve">This report addresses a structural problem facing CHF-denominated balanced portfolios: in a zero or negative interest rate environment, a 42% allocation to AAA–BBB sovereign bonds delivers near-zero or negative real return while still consuming the largest single block of the portfolio. With the SNB policy rate at 0.0% as of June 2025 and most economists expecting it to remain there throughout 2026, the problem is once again immediate.</w:t>
      </w:r>
    </w:p>
    <w:p>
      <w:pPr>
        <w:spacing w:after="80" w:before="80" w:line="280"/>
        <w:jc w:val="left"/>
      </w:pPr>
      <w:r>
        <w:rPr>
          <w:rFonts w:ascii="Arial" w:cs="Arial" w:eastAsia="Arial" w:hAnsi="Arial"/>
          <w:b w:val="false"/>
          <w:bCs w:val="false"/>
          <w:i w:val="false"/>
          <w:iCs w:val="false"/>
          <w:color w:val="262626"/>
          <w:sz w:val="20"/>
          <w:szCs w:val="20"/>
        </w:rPr>
        <w:t xml:space="preserve">Seven asset classes are evaluated as partial replacements for the bond sleeve, ranked from most liquid (best) to least liquid (worst). The candidates are: Gold, Convertible Bonds, AAA CLO Tranches, Listed Infrastructure, Managed Futures (CTAs), Insurance-Linked Securities (ILS), and Private Credit.</w:t>
      </w:r>
    </w:p>
    <w:p>
      <w:pPr>
        <w:spacing w:after="60" w:before="60"/>
      </w:pPr>
      <w:r>
        <w:rPr>
          <w:rFonts w:ascii="Arial" w:cs="Arial" w:eastAsia="Arial" w:hAnsi="Arial"/>
          <w:sz w:val="18"/>
          <w:szCs w:val="18"/>
        </w:rPr>
        <w:t xml:space="preserve"/>
      </w:r>
    </w:p>
    <w:p>
      <w:pPr>
        <w:pStyle w:val="Heading3"/>
        <w:spacing w:after="100" w:before="220"/>
      </w:pPr>
      <w:r>
        <w:rPr>
          <w:rFonts w:ascii="Arial" w:cs="Arial" w:eastAsia="Arial" w:hAnsi="Arial"/>
          <w:b/>
          <w:bCs/>
          <w:color w:val="2E75B6"/>
          <w:sz w:val="22"/>
          <w:szCs w:val="22"/>
        </w:rPr>
        <w:t xml:space="preserve">Key findings</w:t>
      </w:r>
    </w:p>
    <w:p>
      <w:pPr>
        <w:pStyle w:val="ListParagraph"/>
        <w:numPr>
          <w:ilvl w:val="0"/>
          <w:numId w:val="2"/>
        </w:numPr>
        <w:spacing w:after="40" w:before="40" w:line="280"/>
      </w:pPr>
      <w:r>
        <w:rPr>
          <w:rFonts w:ascii="Arial" w:cs="Arial" w:eastAsia="Arial" w:hAnsi="Arial"/>
          <w:b w:val="false"/>
          <w:bCs w:val="false"/>
          <w:i w:val="false"/>
          <w:iCs w:val="false"/>
          <w:color w:val="262626"/>
          <w:sz w:val="20"/>
          <w:szCs w:val="20"/>
        </w:rPr>
        <w:t xml:space="preserve">Only three candidates — </w:t>
      </w:r>
      <w:r>
        <w:rPr>
          <w:rFonts w:ascii="Arial" w:cs="Arial" w:eastAsia="Arial" w:hAnsi="Arial"/>
          <w:b/>
          <w:bCs/>
          <w:i w:val="false"/>
          <w:iCs w:val="false"/>
          <w:color w:val="262626"/>
          <w:sz w:val="20"/>
          <w:szCs w:val="20"/>
        </w:rPr>
        <w:t xml:space="preserve">Gold, Managed Futures, and ILS</w:t>
      </w:r>
      <w:r>
        <w:rPr>
          <w:rFonts w:ascii="Arial" w:cs="Arial" w:eastAsia="Arial" w:hAnsi="Arial"/>
          <w:b w:val="false"/>
          <w:bCs w:val="false"/>
          <w:i w:val="false"/>
          <w:iCs w:val="false"/>
          <w:color w:val="262626"/>
          <w:sz w:val="20"/>
          <w:szCs w:val="20"/>
        </w:rPr>
        <w:t xml:space="preserve"> — preserve the bond sleeve's crisis-hedging function across all three historical stress scenarios (2008 GFC, 2020 COVID, 2022 stagflation).</w:t>
      </w:r>
    </w:p>
    <w:p>
      <w:pPr>
        <w:pStyle w:val="ListParagraph"/>
        <w:numPr>
          <w:ilvl w:val="0"/>
          <w:numId w:val="2"/>
        </w:numPr>
        <w:spacing w:after="40" w:before="40" w:line="280"/>
      </w:pPr>
      <w:r>
        <w:rPr>
          <w:rFonts w:ascii="Arial" w:cs="Arial" w:eastAsia="Arial" w:hAnsi="Arial"/>
          <w:b w:val="false"/>
          <w:bCs w:val="false"/>
          <w:i w:val="false"/>
          <w:iCs w:val="false"/>
          <w:color w:val="262626"/>
          <w:sz w:val="20"/>
          <w:szCs w:val="20"/>
        </w:rPr>
        <w:t xml:space="preserve">Bonds themselves </w:t>
      </w:r>
      <w:r>
        <w:rPr>
          <w:rFonts w:ascii="Arial" w:cs="Arial" w:eastAsia="Arial" w:hAnsi="Arial"/>
          <w:b/>
          <w:bCs/>
          <w:i w:val="false"/>
          <w:iCs w:val="false"/>
          <w:color w:val="262626"/>
          <w:sz w:val="20"/>
          <w:szCs w:val="20"/>
        </w:rPr>
        <w:t xml:space="preserve">failed</w:t>
      </w:r>
      <w:r>
        <w:rPr>
          <w:rFonts w:ascii="Arial" w:cs="Arial" w:eastAsia="Arial" w:hAnsi="Arial"/>
          <w:b w:val="false"/>
          <w:bCs w:val="false"/>
          <w:i w:val="false"/>
          <w:iCs w:val="false"/>
          <w:color w:val="262626"/>
          <w:sz w:val="20"/>
          <w:szCs w:val="20"/>
        </w:rPr>
        <w:t xml:space="preserve"> their crisis-hedge function in 2022, when both bonds and equities fell simultaneously.</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AAA CLO tranches</w:t>
      </w:r>
      <w:r>
        <w:rPr>
          <w:rFonts w:ascii="Arial" w:cs="Arial" w:eastAsia="Arial" w:hAnsi="Arial"/>
          <w:b w:val="false"/>
          <w:bCs w:val="false"/>
          <w:i w:val="false"/>
          <w:iCs w:val="false"/>
          <w:color w:val="262626"/>
          <w:sz w:val="20"/>
          <w:szCs w:val="20"/>
        </w:rPr>
        <w:t xml:space="preserve"> offer the closest investment-grade, daily-liquid, floating-rate alternative — the cleanest structural replacement for the Swiss bond sleeve.</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Convertible bonds</w:t>
      </w:r>
      <w:r>
        <w:rPr>
          <w:rFonts w:ascii="Arial" w:cs="Arial" w:eastAsia="Arial" w:hAnsi="Arial"/>
          <w:b w:val="false"/>
          <w:bCs w:val="false"/>
          <w:i w:val="false"/>
          <w:iCs w:val="false"/>
          <w:color w:val="262626"/>
          <w:sz w:val="20"/>
          <w:szCs w:val="20"/>
        </w:rPr>
        <w:t xml:space="preserve"> provide higher returns but </w:t>
      </w:r>
      <w:r>
        <w:rPr>
          <w:rFonts w:ascii="Arial" w:cs="Arial" w:eastAsia="Arial" w:hAnsi="Arial"/>
          <w:b w:val="false"/>
          <w:bCs w:val="false"/>
          <w:i/>
          <w:iCs/>
          <w:color w:val="262626"/>
          <w:sz w:val="20"/>
          <w:szCs w:val="20"/>
        </w:rPr>
        <w:t xml:space="preserve">fail the variance-covariance test</w:t>
      </w:r>
      <w:r>
        <w:rPr>
          <w:rFonts w:ascii="Arial" w:cs="Arial" w:eastAsia="Arial" w:hAnsi="Arial"/>
          <w:b w:val="false"/>
          <w:bCs w:val="false"/>
          <w:i w:val="false"/>
          <w:iCs w:val="false"/>
          <w:color w:val="262626"/>
          <w:sz w:val="20"/>
          <w:szCs w:val="20"/>
        </w:rPr>
        <w:t xml:space="preserve"> — their correlation with equities rises in both bull markets and crashes.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Private credit</w:t>
      </w:r>
      <w:r>
        <w:rPr>
          <w:rFonts w:ascii="Arial" w:cs="Arial" w:eastAsia="Arial" w:hAnsi="Arial"/>
          <w:b w:val="false"/>
          <w:bCs w:val="false"/>
          <w:i w:val="false"/>
          <w:iCs w:val="false"/>
          <w:color w:val="262626"/>
          <w:sz w:val="20"/>
          <w:szCs w:val="20"/>
        </w:rPr>
        <w:t xml:space="preserve"> offers attractive yield but its 4–7 year illiquidity caps prudent allocation; reported low volatility is partly an artefact of mark-to-model NAV smoothing.</w:t>
      </w:r>
    </w:p>
    <w:p>
      <w:pPr>
        <w:spacing w:after="60" w:before="60"/>
      </w:pPr>
      <w:r>
        <w:rPr>
          <w:rFonts w:ascii="Arial" w:cs="Arial" w:eastAsia="Arial" w:hAnsi="Arial"/>
          <w:sz w:val="18"/>
          <w:szCs w:val="18"/>
        </w:rPr>
        <w:t xml:space="preserve"/>
      </w:r>
    </w:p>
    <w:p>
      <w:pPr>
        <w:pStyle w:val="Heading3"/>
        <w:spacing w:after="100" w:before="220"/>
      </w:pPr>
      <w:r>
        <w:rPr>
          <w:rFonts w:ascii="Arial" w:cs="Arial" w:eastAsia="Arial" w:hAnsi="Arial"/>
          <w:b/>
          <w:bCs/>
          <w:color w:val="2E75B6"/>
          <w:sz w:val="22"/>
          <w:szCs w:val="22"/>
        </w:rPr>
        <w:t xml:space="preserve">Recommendation</w:t>
      </w:r>
    </w:p>
    <w:p>
      <w:pPr>
        <w:spacing w:after="80" w:before="80" w:line="280"/>
        <w:jc w:val="left"/>
      </w:pPr>
      <w:r>
        <w:rPr>
          <w:rFonts w:ascii="Arial" w:cs="Arial" w:eastAsia="Arial" w:hAnsi="Arial"/>
          <w:b w:val="false"/>
          <w:bCs w:val="false"/>
          <w:i w:val="false"/>
          <w:iCs w:val="false"/>
          <w:color w:val="262626"/>
          <w:sz w:val="20"/>
          <w:szCs w:val="20"/>
        </w:rPr>
        <w:t xml:space="preserve">Replace approximately 20% of the original 42% bond sleeve (i.e., 20 percentage points of the portfolio) with a diversified mix of seven alternatives. This raises expected return, preserves daily liquidity for the bulk of the allocation, and improves crisis-hedging by adding regime-robust diversifiers (gold, CTAs, ILS) that bonds alone failed to provide in 2022.</w:t>
      </w:r>
    </w:p>
    <w:p>
      <w:r>
        <w:br w:type="page"/>
      </w:r>
    </w:p>
    <w:p>
      <w:pPr>
        <w:pStyle w:val="Heading1"/>
        <w:spacing w:after="200" w:before="360"/>
      </w:pPr>
      <w:r>
        <w:rPr>
          <w:rFonts w:ascii="Arial" w:cs="Arial" w:eastAsia="Arial" w:hAnsi="Arial"/>
          <w:b/>
          <w:bCs/>
          <w:color w:val="1F4E79"/>
          <w:sz w:val="32"/>
          <w:szCs w:val="32"/>
        </w:rPr>
        <w:t xml:space="preserve">I. Portfolio Structure</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5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Asset Class</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Weight</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Benchmark / Notes</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Swiss Equities</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SPI / SMI</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World Equities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MSCI World</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Swiss Bonds</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18%</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SBI AAA–BBB Domestic</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World Bonds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24%</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Bloomberg Global Aggregate / MSCI World Sovereign (AAA–BBB)</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Swiss Real Estate</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5%</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SXI Real Estate Funds — excluded as replacement</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Liquidity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3%</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CHF money market / SARON-linked</w:t>
            </w:r>
          </w:p>
        </w:tc>
      </w:tr>
      <w:tr>
        <w:tc>
          <w:tcPr>
            <w:tcW w:type="dxa" w:w="32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TOTAL</w:t>
            </w:r>
          </w:p>
        </w:tc>
        <w:tc>
          <w:tcPr>
            <w:tcW w:type="dxa" w:w="15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100%</w:t>
            </w:r>
          </w:p>
        </w:tc>
        <w:tc>
          <w:tcPr>
            <w:tcW w:type="dxa" w:w="45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CHF-denominated</w:t>
            </w:r>
          </w:p>
        </w:tc>
      </w:tr>
    </w:tbl>
    <w:p>
      <w:pPr>
        <w:spacing w:after="60" w:before="60"/>
      </w:pPr>
      <w:r>
        <w:rPr>
          <w:rFonts w:ascii="Arial" w:cs="Arial" w:eastAsia="Arial" w:hAnsi="Arial"/>
          <w:sz w:val="18"/>
          <w:szCs w:val="18"/>
        </w:rPr>
        <w:t xml:space="preserve"/>
      </w:r>
    </w:p>
    <w:p>
      <w:pPr>
        <w:spacing w:after="80" w:before="80" w:line="280"/>
        <w:jc w:val="left"/>
      </w:pPr>
      <w:r>
        <w:rPr>
          <w:rFonts w:ascii="Arial" w:cs="Arial" w:eastAsia="Arial" w:hAnsi="Arial"/>
          <w:b w:val="false"/>
          <w:bCs w:val="false"/>
          <w:i/>
          <w:iCs/>
          <w:color w:val="262626"/>
          <w:sz w:val="20"/>
          <w:szCs w:val="20"/>
        </w:rPr>
        <w:t xml:space="preserve">Bond sleeve to address: 42% of total assets — the largest block in the portfolio. The 18/24 split skews slightly more toward CHF-native fixed income, which is precisely the part most damaged by Swiss low-rate regimes.</w:t>
      </w:r>
    </w:p>
    <w:p>
      <w:r>
        <w:br w:type="page"/>
      </w:r>
    </w:p>
    <w:p>
      <w:pPr>
        <w:pStyle w:val="Heading1"/>
        <w:spacing w:after="200" w:before="360"/>
      </w:pPr>
      <w:r>
        <w:rPr>
          <w:rFonts w:ascii="Arial" w:cs="Arial" w:eastAsia="Arial" w:hAnsi="Arial"/>
          <w:b/>
          <w:bCs/>
          <w:color w:val="1F4E79"/>
          <w:sz w:val="32"/>
          <w:szCs w:val="32"/>
        </w:rPr>
        <w:t xml:space="preserve">II. Interest Rate Regimes Since 2000</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300"/>
        <w:gridCol w:w="1300"/>
        <w:gridCol w:w="340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Period</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Label</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SNB Rate</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10Y</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Impact on the 42% Bond Sleeve</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6"/>
                <w:szCs w:val="16"/>
              </w:rPr>
              <w:t xml:space="preserve">2000–2003</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Post dot-com easing</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3.5% → 0.25%</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~3.5% → 2.5%</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Strong bond rally; capital gains + healthy coupon</w:t>
            </w:r>
          </w:p>
        </w:tc>
      </w:tr>
      <w:tr>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6"/>
                <w:szCs w:val="16"/>
              </w:rPr>
              <w:t xml:space="preserve">2004–2007</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Gradual normalisation</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0.25% → 2.75%</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~2.5% → 3.2%</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Rising rates compress prices; coupon still meaningful; mildly positive total return</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6"/>
                <w:szCs w:val="16"/>
              </w:rPr>
              <w:t xml:space="preserve">2008–2014</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GFC + ZIRP onset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2.75% → 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~3.0% → 0.6%</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Bonds = portfolio's best diversifier in 2008 (equities −40 to −50%, bonds +5 to +10%)</w:t>
            </w:r>
          </w:p>
        </w:tc>
      </w:tr>
      <w:tr>
        <w:tc>
          <w:tcPr>
            <w:tcW w:type="dxa" w:w="1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2015–2021</w:t>
            </w:r>
          </w:p>
        </w:tc>
        <w:tc>
          <w:tcPr>
            <w:tcW w:type="dxa" w:w="19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NIRP era</w:t>
            </w:r>
          </w:p>
        </w:tc>
        <w:tc>
          <w:tcPr>
            <w:tcW w:type="dxa" w:w="1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−0.75%</w:t>
            </w:r>
          </w:p>
        </w:tc>
        <w:tc>
          <w:tcPr>
            <w:tcW w:type="dxa" w:w="1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−1.0% to 0%</w:t>
            </w:r>
          </w:p>
        </w:tc>
        <w:tc>
          <w:tcPr>
            <w:tcW w:type="dxa" w:w="34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Swiss bonds yield negative to maturity. 18% sleeve = guaranteed nominal drag.</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6"/>
                <w:szCs w:val="16"/>
              </w:rPr>
              <w:t xml:space="preserve">2022–2023</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Violent tightening</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−0.75% → +1.75%</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−0.5% → +1.5%</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Worst bond drawdown in 50 years. Bonds AND equities fell together — correlation breakdown</w:t>
            </w:r>
          </w:p>
        </w:tc>
      </w:tr>
      <w:tr>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6"/>
                <w:szCs w:val="16"/>
              </w:rPr>
              <w:t xml:space="preserve">2024–2025</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Aggressive re-easing</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1.75% → 0%</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1.5% → ~0.4%</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Six consecutive SNB cuts; return to zero rate in June 2025</w:t>
            </w:r>
          </w:p>
        </w:tc>
      </w:tr>
      <w:tr>
        <w:tc>
          <w:tcPr>
            <w:tcW w:type="dxa" w:w="1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2026 (current)</w:t>
            </w:r>
          </w:p>
        </w:tc>
        <w:tc>
          <w:tcPr>
            <w:tcW w:type="dxa" w:w="19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Zero-rate plateau</w:t>
            </w:r>
          </w:p>
        </w:tc>
        <w:tc>
          <w:tcPr>
            <w:tcW w:type="dxa" w:w="1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0%</w:t>
            </w:r>
          </w:p>
        </w:tc>
        <w:tc>
          <w:tcPr>
            <w:tcW w:type="dxa" w:w="1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~0.45%</w:t>
            </w:r>
          </w:p>
        </w:tc>
        <w:tc>
          <w:tcPr>
            <w:tcW w:type="dxa" w:w="34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10Y Confederation 0.446% (Apr 2026). Most economists expect SNB at 0% throughout 2026.</w:t>
            </w:r>
          </w:p>
        </w:tc>
      </w:tr>
    </w:tbl>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2"/>
              <w:left w:val="single" w:color="1F4E79" w:sz="12"/>
              <w:bottom w:val="single" w:color="1F4E79" w:sz="12"/>
              <w:right w:val="single" w:color="1F4E79" w:sz="12"/>
            </w:tcBorders>
            <w:shd w:fill="FFF2CC"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CRITICAL CONTEXT — May 2026</w:t>
            </w:r>
          </w:p>
          <w:p>
            <w:pPr>
              <w:spacing w:after="40" w:before="40" w:line="280"/>
            </w:pPr>
            <w:r>
              <w:rPr>
                <w:rFonts w:ascii="Arial" w:cs="Arial" w:eastAsia="Arial" w:hAnsi="Arial"/>
                <w:color w:val="262626"/>
                <w:sz w:val="20"/>
                <w:szCs w:val="20"/>
              </w:rPr>
              <w:t xml:space="preserve">We are back in a low-rate regime structurally similar to the NIRP era. The SNB has revised down its inflation forecasts, and although the SNB is currently at exactly 0% rather than negative, the probability of being forced to cut rates again is materially higher than markets currently price.</w:t>
            </w:r>
          </w:p>
          <w:p>
            <w:pPr>
              <w:spacing w:after="40" w:before="40" w:line="280"/>
            </w:pPr>
            <w:r>
              <w:rPr>
                <w:rFonts w:ascii="Arial" w:cs="Arial" w:eastAsia="Arial" w:hAnsi="Arial"/>
                <w:color w:val="262626"/>
                <w:sz w:val="20"/>
                <w:szCs w:val="20"/>
              </w:rPr>
              <w:t xml:space="preserve">Real CHF sovereign yields are once again near zero or below — the 18% Swiss bond sleeve is the primary problem child of the portfolio.</w:t>
            </w:r>
          </w:p>
        </w:tc>
      </w:tr>
    </w:tbl>
    <w:p>
      <w:r>
        <w:br w:type="page"/>
      </w:r>
    </w:p>
    <w:p>
      <w:pPr>
        <w:pStyle w:val="Heading1"/>
        <w:spacing w:after="200" w:before="360"/>
      </w:pPr>
      <w:r>
        <w:rPr>
          <w:rFonts w:ascii="Arial" w:cs="Arial" w:eastAsia="Arial" w:hAnsi="Arial"/>
          <w:b/>
          <w:bCs/>
          <w:color w:val="1F4E79"/>
          <w:sz w:val="32"/>
          <w:szCs w:val="32"/>
        </w:rPr>
        <w:t xml:space="preserve">III. The Four Functions of the Bond Sleeve</w:t>
      </w:r>
    </w:p>
    <w:p>
      <w:pPr>
        <w:spacing w:after="80" w:before="80" w:line="280"/>
        <w:jc w:val="left"/>
      </w:pPr>
      <w:r>
        <w:rPr>
          <w:rFonts w:ascii="Arial" w:cs="Arial" w:eastAsia="Arial" w:hAnsi="Arial"/>
          <w:b w:val="false"/>
          <w:bCs w:val="false"/>
          <w:i w:val="false"/>
          <w:iCs w:val="false"/>
          <w:color w:val="262626"/>
          <w:sz w:val="20"/>
          <w:szCs w:val="20"/>
        </w:rPr>
        <w:t xml:space="preserve">Before screening alternatives, fix the four functions bonds perform in this portfolio. Any replacement must preserve as many as possible:</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Function</w:t>
            </w:r>
          </w:p>
        </w:tc>
        <w:tc>
          <w:tcPr>
            <w:tcW w:type="dxa" w:w="40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Description</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Replacement must preserve</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F1. Crisis hedge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Negative correlation with 50% equity sleeve in equity bear markets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Low / negative beta to MSCI World &amp; SPI</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F2. Income / carry</w:t>
            </w:r>
          </w:p>
        </w:tc>
        <w:tc>
          <w:tcPr>
            <w:tcW w:type="dxa" w:w="4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Stable distributions to portfolio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Predictable yield component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F3. Volatility damping</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σ ~4–7% versus equity σ ~14–17%</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Comparable or lower σ</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F4. Liquidity</w:t>
            </w:r>
          </w:p>
        </w:tc>
        <w:tc>
          <w:tcPr>
            <w:tcW w:type="dxa" w:w="4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 tradability for rebalancing</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Ideally daily, at minimum monthly</w:t>
            </w:r>
          </w:p>
        </w:tc>
      </w:tr>
    </w:tbl>
    <w:p>
      <w:pPr>
        <w:spacing w:after="60" w:before="60"/>
      </w:pPr>
      <w:r>
        <w:rPr>
          <w:rFonts w:ascii="Arial" w:cs="Arial" w:eastAsia="Arial" w:hAnsi="Arial"/>
          <w:sz w:val="18"/>
          <w:szCs w:val="18"/>
        </w:rPr>
        <w:t xml:space="preserve"/>
      </w:r>
    </w:p>
    <w:p>
      <w:pPr>
        <w:spacing w:after="80" w:before="80" w:line="280"/>
        <w:jc w:val="left"/>
      </w:pPr>
      <w:r>
        <w:rPr>
          <w:rFonts w:ascii="Arial" w:cs="Arial" w:eastAsia="Arial" w:hAnsi="Arial"/>
          <w:b w:val="false"/>
          <w:bCs w:val="false"/>
          <w:i/>
          <w:iCs/>
          <w:color w:val="262626"/>
          <w:sz w:val="20"/>
          <w:szCs w:val="20"/>
        </w:rPr>
        <w:t xml:space="preserve">The ranking that follows places liquidity (F4) first, as requested — least-liquid candidates are presented last and are the least-good replacements regardless of how attractive their other properties are.</w:t>
      </w:r>
    </w:p>
    <w:p>
      <w:r>
        <w:br w:type="page"/>
      </w:r>
    </w:p>
    <w:p>
      <w:pPr>
        <w:pStyle w:val="Heading1"/>
        <w:spacing w:after="200" w:before="360"/>
      </w:pPr>
      <w:r>
        <w:rPr>
          <w:rFonts w:ascii="Arial" w:cs="Arial" w:eastAsia="Arial" w:hAnsi="Arial"/>
          <w:b/>
          <w:bCs/>
          <w:color w:val="1F4E79"/>
          <w:sz w:val="32"/>
          <w:szCs w:val="32"/>
        </w:rPr>
        <w:t xml:space="preserve">IV. Bond Replacement Candidates</w:t>
      </w:r>
    </w:p>
    <w:p>
      <w:pPr>
        <w:spacing w:after="80" w:before="80" w:line="280"/>
        <w:jc w:val="left"/>
      </w:pPr>
      <w:r>
        <w:rPr>
          <w:rFonts w:ascii="Arial" w:cs="Arial" w:eastAsia="Arial" w:hAnsi="Arial"/>
          <w:b w:val="false"/>
          <w:bCs w:val="false"/>
          <w:i w:val="false"/>
          <w:iCs w:val="false"/>
          <w:color w:val="262626"/>
          <w:sz w:val="20"/>
          <w:szCs w:val="20"/>
        </w:rPr>
        <w:t xml:space="preserve">The seven candidates below are ranked from most liquid (best) to least liquid (worst), per the analytical brief. For each candidate, the analysis presents: (i) a description and access route, (ii) expected return in low-rate environments, (iii) the variance-covariance fit relative to your other portfolio sleeves, (iv) similarities with the bond sleeve being replaced, (v) where it differs and what risks it introduces, and (vi) recommended best use within the portfolio.</w:t>
      </w:r>
    </w:p>
    <w:p>
      <w:pPr>
        <w:spacing w:after="60" w:before="60"/>
      </w:pPr>
      <w:r>
        <w:rPr>
          <w:rFonts w:ascii="Arial" w:cs="Arial" w:eastAsia="Arial" w:hAnsi="Arial"/>
          <w:sz w:val="18"/>
          <w:szCs w:val="18"/>
        </w:rPr>
        <w:t xml:space="preserve"/>
      </w:r>
    </w:p>
    <w:p>
      <w:pPr>
        <w:pStyle w:val="Heading2"/>
        <w:spacing w:after="140" w:before="280"/>
      </w:pPr>
      <w:r>
        <w:rPr>
          <w:rFonts w:ascii="Arial" w:cs="Arial" w:eastAsia="Arial" w:hAnsi="Arial"/>
          <w:b/>
          <w:bCs/>
          <w:color w:val="1F4E79"/>
          <w:sz w:val="26"/>
          <w:szCs w:val="26"/>
        </w:rPr>
        <w:t xml:space="preserve">#1 — Gold (Physical-Backed ETFs, CHF Share Class)</w:t>
      </w:r>
    </w:p>
    <w:p>
      <w:pPr>
        <w:spacing w:after="80" w:before="80" w:line="280"/>
        <w:jc w:val="left"/>
      </w:pPr>
      <w:r>
        <w:rPr>
          <w:rFonts w:ascii="Arial" w:cs="Arial" w:eastAsia="Arial" w:hAnsi="Arial"/>
          <w:b/>
          <w:bCs/>
          <w:i w:val="false"/>
          <w:iCs w:val="false"/>
          <w:color w:val="548235"/>
          <w:sz w:val="20"/>
          <w:szCs w:val="20"/>
        </w:rPr>
        <w:t xml:space="preserve">Liquidity rating: </w:t>
      </w:r>
      <w:r>
        <w:rPr>
          <w:rFonts w:ascii="Arial" w:cs="Arial" w:eastAsia="Arial" w:hAnsi="Arial"/>
          <w:b/>
          <w:bCs/>
          <w:i w:val="false"/>
          <w:iCs w:val="false"/>
          <w:color w:val="548235"/>
          <w:sz w:val="20"/>
          <w:szCs w:val="20"/>
        </w:rPr>
        <w:t xml:space="preserve">★★★★★ — Intraday, exchange-traded, deep secondary market</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Allocated physical gold accessed via Swiss-domiciled ETFs (ZKB Gold ETF, UBS ETF Gold CHF-Hedged, Swisscanto Gold). Switzerland is the world's gold refining hub — natural CHF access. Spot gold market is among the deepest financial markets globally; ZKB Gold ETF AUM exceeds CHF 10 billion.</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+7% to +10% annualised in CHF terms. Gold has a strong inverse relationship with real rates: the lower real rates go, the lower the opportunity cost of holding gold, and the more attractive it becomes. NIRP environments are gold's textbook bull case. From January 2024 to early 2026, gold has rallied substantially as rates have been cut globally.</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Replacement</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+0.15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+0.10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+0.30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 to +0.20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14–18%</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color w:val="262626"/>
          <w:sz w:val="20"/>
          <w:szCs w:val="20"/>
        </w:rPr>
        <w:t xml:space="preserve">Powerful crisis hedge — gold rallied during 2008, 2011 sovereign crisis, 2020 COVID, and held value in 2022. Often a stronger equity-crisis hedge than bonds in inflation-driven crises (preserves F1).</w:t>
      </w:r>
    </w:p>
    <w:p>
      <w:pPr>
        <w:pStyle w:val="ListParagraph"/>
        <w:numPr>
          <w:ilvl w:val="0"/>
          <w:numId w:val="2"/>
        </w:numPr>
        <w:spacing w:after="40" w:before="40" w:line="280"/>
      </w:pPr>
      <w:r>
        <w:rPr>
          <w:rFonts w:ascii="Arial" w:cs="Arial" w:eastAsia="Arial" w:hAnsi="Arial"/>
          <w:color w:val="262626"/>
          <w:sz w:val="20"/>
          <w:szCs w:val="20"/>
        </w:rPr>
        <w:t xml:space="preserve">Negative real-rate sensitivity — benefits from the same NIRP environment that destroys bond returns.</w:t>
      </w:r>
    </w:p>
    <w:p>
      <w:pPr>
        <w:pStyle w:val="ListParagraph"/>
        <w:numPr>
          <w:ilvl w:val="0"/>
          <w:numId w:val="2"/>
        </w:numPr>
        <w:spacing w:after="40" w:before="40" w:line="280"/>
      </w:pPr>
      <w:r>
        <w:rPr>
          <w:rFonts w:ascii="Arial" w:cs="Arial" w:eastAsia="Arial" w:hAnsi="Arial"/>
          <w:color w:val="262626"/>
          <w:sz w:val="20"/>
          <w:szCs w:val="20"/>
        </w:rPr>
        <w:t xml:space="preserve">No credit risk, no default risk — analogous to AAA sovereign in credit profile.</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No income / no carry</w:t>
      </w:r>
      <w:r>
        <w:rPr>
          <w:rFonts w:ascii="Arial" w:cs="Arial" w:eastAsia="Arial" w:hAnsi="Arial"/>
          <w:b w:val="false"/>
          <w:bCs w:val="false"/>
          <w:i w:val="false"/>
          <w:iCs w:val="false"/>
          <w:color w:val="262626"/>
          <w:sz w:val="20"/>
          <w:szCs w:val="20"/>
        </w:rPr>
        <w:t xml:space="preserve"> — fails F2 entirely. Gold pays nothing; total return depends solely on price appreciation.</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High volatility</w:t>
      </w:r>
      <w:r>
        <w:rPr>
          <w:rFonts w:ascii="Arial" w:cs="Arial" w:eastAsia="Arial" w:hAnsi="Arial"/>
          <w:b w:val="false"/>
          <w:bCs w:val="false"/>
          <w:i w:val="false"/>
          <w:iCs w:val="false"/>
          <w:color w:val="262626"/>
          <w:sz w:val="20"/>
          <w:szCs w:val="20"/>
        </w:rPr>
        <w:t xml:space="preserve"> — σ of 14–18% is closer to equities than bonds; weakens F3 (volatility damping).</w:t>
      </w:r>
    </w:p>
    <w:p>
      <w:pPr>
        <w:pStyle w:val="ListParagraph"/>
        <w:numPr>
          <w:ilvl w:val="0"/>
          <w:numId w:val="2"/>
        </w:numPr>
        <w:spacing w:after="40" w:before="40" w:line="280"/>
      </w:pPr>
      <w:r>
        <w:rPr>
          <w:rFonts w:ascii="Arial" w:cs="Arial" w:eastAsia="Arial" w:hAnsi="Arial"/>
          <w:color w:val="262626"/>
          <w:sz w:val="20"/>
          <w:szCs w:val="20"/>
        </w:rPr>
        <w:t xml:space="preserve">Speculative price risk — short-term moves dominated by sentiment, USD strength, and real-rate expectations rather than fundamentals.</w:t>
      </w:r>
    </w:p>
    <w:p>
      <w:pPr>
        <w:pStyle w:val="ListParagraph"/>
        <w:numPr>
          <w:ilvl w:val="0"/>
          <w:numId w:val="2"/>
        </w:numPr>
        <w:spacing w:after="40" w:before="40" w:line="280"/>
      </w:pPr>
      <w:r>
        <w:rPr>
          <w:rFonts w:ascii="Arial" w:cs="Arial" w:eastAsia="Arial" w:hAnsi="Arial"/>
          <w:color w:val="262626"/>
          <w:sz w:val="20"/>
          <w:szCs w:val="20"/>
        </w:rPr>
        <w:t xml:space="preserve">Storage / management cost embedded in ETF (~0.15–0.40% annually); CHF hedging on USD-spot products adds ~1.0% in current rate differentials.</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3–6% of portfolio as a partial substitute for the world bond sleeve. Gold is best understood as a regime-shift hedge, not a structural bond replacement. In a stagflation scenario (high inflation + low growth), gold dramatically outperforms the entire bond sleeve.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2"/>
              <w:left w:val="single" w:color="2E75B6" w:sz="12"/>
              <w:bottom w:val="single" w:color="2E75B6" w:sz="12"/>
              <w:right w:val="single" w:color="2E75B6"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w:t>
            </w:r>
          </w:p>
          <w:p>
            <w:pPr>
              <w:spacing w:after="40" w:before="40" w:line="280"/>
            </w:pPr>
            <w:r>
              <w:rPr>
                <w:rFonts w:ascii="Arial" w:cs="Arial" w:eastAsia="Arial" w:hAnsi="Arial"/>
                <w:color w:val="262626"/>
                <w:sz w:val="20"/>
                <w:szCs w:val="20"/>
              </w:rPr>
              <w:t xml:space="preserve">Excellent diversifier and inflation-crisis hedge. Fails the income function entirely — must be paired with yield-generating alternatives.</w:t>
            </w:r>
          </w:p>
        </w:tc>
      </w:tr>
    </w:tbl>
    <w:p>
      <w:pPr>
        <w:pStyle w:val="Heading2"/>
        <w:spacing w:after="140" w:before="280"/>
      </w:pPr>
      <w:r>
        <w:rPr>
          <w:rFonts w:ascii="Arial" w:cs="Arial" w:eastAsia="Arial" w:hAnsi="Arial"/>
          <w:b/>
          <w:bCs/>
          <w:color w:val="1F4E79"/>
          <w:sz w:val="26"/>
          <w:szCs w:val="26"/>
        </w:rPr>
        <w:t xml:space="preserve">#2 — Convertible Bonds (Global, CHF-Hedged)</w:t>
      </w:r>
    </w:p>
    <w:p>
      <w:pPr>
        <w:spacing w:after="80" w:before="80" w:line="280"/>
        <w:jc w:val="left"/>
      </w:pPr>
      <w:r>
        <w:rPr>
          <w:rFonts w:ascii="Arial" w:cs="Arial" w:eastAsia="Arial" w:hAnsi="Arial"/>
          <w:b/>
          <w:bCs/>
          <w:i w:val="false"/>
          <w:iCs w:val="false"/>
          <w:color w:val="548235"/>
          <w:sz w:val="20"/>
          <w:szCs w:val="20"/>
        </w:rPr>
        <w:t xml:space="preserve">Liquidity rating: </w:t>
      </w:r>
      <w:r>
        <w:rPr>
          <w:rFonts w:ascii="Arial" w:cs="Arial" w:eastAsia="Arial" w:hAnsi="Arial"/>
          <w:b/>
          <w:bCs/>
          <w:i w:val="false"/>
          <w:iCs w:val="false"/>
          <w:color w:val="548235"/>
          <w:sz w:val="20"/>
          <w:szCs w:val="20"/>
        </w:rPr>
        <w:t xml:space="preserve">★★★★★ — Daily exchange / OTC; deep institutional market</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Hybrid securities issued as corporate bonds with an embedded equity-conversion option. They behave like bonds when equity is far from the conversion strike (high "bond floor") and progressively more like equities as the underlying stock rises. Global universe ~USD 400 billion, predominantly USD/EUR-denominated. Benchmarks: Refinitiv Global Convertible Bond Index, ICE BofA G300. CHF-hedged access via Lombard Odier Asset Management, UBP, Mirabaud, Schroders, NN IP, and several UCITS ETFs.</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+6% to +9% annualised (CHF-hedged), versus near-zero for sovereigns. Convertibles particularly benefit from low rates because: (i) the bond floor remains protective even at low yields, (ii) the embedded equity option gains value, and (iii) issuers (often growth/tech companies) thrive in low-discount-rate environments. 2020 was an exceptional year (+25% globally) due to the tech rally.</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Convertible Bonds</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+0.40 to +0.60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+0.55 to +0.75</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+0.20 to +0.40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+0.20 to +0.35</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6–10%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Average effective duration</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6–9 years</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2–4 years</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color w:val="262626"/>
          <w:sz w:val="20"/>
          <w:szCs w:val="20"/>
        </w:rPr>
        <w:t xml:space="preserve">Legal structure is a bond — coupon and par redemption at maturity if not converted.</w:t>
      </w:r>
    </w:p>
    <w:p>
      <w:pPr>
        <w:pStyle w:val="ListParagraph"/>
        <w:numPr>
          <w:ilvl w:val="0"/>
          <w:numId w:val="2"/>
        </w:numPr>
        <w:spacing w:after="40" w:before="40" w:line="280"/>
      </w:pPr>
      <w:r>
        <w:rPr>
          <w:rFonts w:ascii="Arial" w:cs="Arial" w:eastAsia="Arial" w:hAnsi="Arial"/>
          <w:color w:val="262626"/>
          <w:sz w:val="20"/>
          <w:szCs w:val="20"/>
        </w:rPr>
        <w:t xml:space="preserve">Bond floor provides asymmetric downside protection versus equities.</w:t>
      </w:r>
    </w:p>
    <w:p>
      <w:pPr>
        <w:pStyle w:val="ListParagraph"/>
        <w:numPr>
          <w:ilvl w:val="0"/>
          <w:numId w:val="2"/>
        </w:numPr>
        <w:spacing w:after="40" w:before="40" w:line="280"/>
      </w:pPr>
      <w:r>
        <w:rPr>
          <w:rFonts w:ascii="Arial" w:cs="Arial" w:eastAsia="Arial" w:hAnsi="Arial"/>
          <w:color w:val="262626"/>
          <w:sz w:val="20"/>
          <w:szCs w:val="20"/>
        </w:rPr>
        <w:t xml:space="preserve">Predictable coupon income (preserves F2 partially).</w:t>
      </w:r>
    </w:p>
    <w:p>
      <w:pPr>
        <w:pStyle w:val="ListParagraph"/>
        <w:numPr>
          <w:ilvl w:val="0"/>
          <w:numId w:val="2"/>
        </w:numPr>
        <w:spacing w:after="40" w:before="40" w:line="280"/>
      </w:pPr>
      <w:r>
        <w:rPr>
          <w:rFonts w:ascii="Arial" w:cs="Arial" w:eastAsia="Arial" w:hAnsi="Arial"/>
          <w:color w:val="262626"/>
          <w:sz w:val="20"/>
          <w:szCs w:val="20"/>
        </w:rPr>
        <w:t xml:space="preserve">Daily liquid in exchange-listed and OTC markets.</w:t>
      </w:r>
    </w:p>
    <w:p>
      <w:pPr>
        <w:pStyle w:val="ListParagraph"/>
        <w:numPr>
          <w:ilvl w:val="0"/>
          <w:numId w:val="2"/>
        </w:numPr>
        <w:spacing w:after="40" w:before="40" w:line="280"/>
      </w:pPr>
      <w:r>
        <w:rPr>
          <w:rFonts w:ascii="Arial" w:cs="Arial" w:eastAsia="Arial" w:hAnsi="Arial"/>
          <w:color w:val="262626"/>
          <w:sz w:val="20"/>
          <w:szCs w:val="20"/>
        </w:rPr>
        <w:t xml:space="preserve">Lower duration than straight bonds — actually a partial advantage in rising-rate phases.</w:t>
      </w:r>
    </w:p>
    <w:p>
      <w:pPr>
        <w:pStyle w:val="Heading4"/>
        <w:spacing w:after="60" w:before="160"/>
      </w:pPr>
      <w:r>
        <w:rPr>
          <w:rFonts w:ascii="Arial" w:cs="Arial" w:eastAsia="Arial" w:hAnsi="Arial"/>
          <w:b/>
          <w:bCs/>
          <w:i/>
          <w:iCs/>
          <w:color w:val="262626"/>
          <w:sz w:val="20"/>
          <w:szCs w:val="20"/>
        </w:rPr>
        <w:t xml:space="preserve">Where it differs — and why it fails the variance-covariance test</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High and asymmetric equity correlation: </w:t>
      </w:r>
      <w:r>
        <w:rPr>
          <w:rFonts w:ascii="Arial" w:cs="Arial" w:eastAsia="Arial" w:hAnsi="Arial"/>
          <w:b w:val="false"/>
          <w:bCs w:val="false"/>
          <w:i w:val="false"/>
          <w:iCs w:val="false"/>
          <w:color w:val="262626"/>
          <w:sz w:val="20"/>
          <w:szCs w:val="20"/>
        </w:rPr>
        <w:t xml:space="preserve">correlation rises in bull markets (when convexity engages on the upside) AND in severe crashes (when the bond floor fails to cushion fully). The </w:t>
      </w:r>
      <w:r>
        <w:rPr>
          <w:rFonts w:ascii="Arial" w:cs="Arial" w:eastAsia="Arial" w:hAnsi="Arial"/>
          <w:b/>
          <w:bCs/>
          <w:i/>
          <w:iCs/>
          <w:color w:val="262626"/>
          <w:sz w:val="20"/>
          <w:szCs w:val="20"/>
        </w:rPr>
        <w:t xml:space="preserve">net diversification benefit collapses precisely when needed most</w:t>
      </w:r>
      <w:r>
        <w:rPr>
          <w:rFonts w:ascii="Arial" w:cs="Arial" w:eastAsia="Arial" w:hAnsi="Arial"/>
          <w:b w:val="false"/>
          <w:bCs w:val="false"/>
          <w:i w:val="false"/>
          <w:iCs w:val="false"/>
          <w:color w:val="262626"/>
          <w:sz w:val="20"/>
          <w:szCs w:val="20"/>
        </w:rPr>
        <w:t xml:space="preserve"> — exact opposite of F1.</w:t>
      </w:r>
    </w:p>
    <w:p>
      <w:pPr>
        <w:pStyle w:val="ListParagraph"/>
        <w:numPr>
          <w:ilvl w:val="0"/>
          <w:numId w:val="2"/>
        </w:numPr>
        <w:spacing w:after="40" w:before="40" w:line="280"/>
      </w:pPr>
      <w:r>
        <w:rPr>
          <w:rFonts w:ascii="Arial" w:cs="Arial" w:eastAsia="Arial" w:hAnsi="Arial"/>
          <w:color w:val="262626"/>
          <w:sz w:val="20"/>
          <w:szCs w:val="20"/>
        </w:rPr>
        <w:t xml:space="preserve">Volatility sits between bonds and equities — but "worst-of-both-worlds" in stress.</w:t>
      </w:r>
    </w:p>
    <w:p>
      <w:pPr>
        <w:pStyle w:val="ListParagraph"/>
        <w:numPr>
          <w:ilvl w:val="0"/>
          <w:numId w:val="2"/>
        </w:numPr>
        <w:spacing w:after="40" w:before="40" w:line="280"/>
      </w:pPr>
      <w:r>
        <w:rPr>
          <w:rFonts w:ascii="Arial" w:cs="Arial" w:eastAsia="Arial" w:hAnsi="Arial"/>
          <w:color w:val="262626"/>
          <w:sz w:val="20"/>
          <w:szCs w:val="20"/>
        </w:rPr>
        <w:t xml:space="preserve">Issuer universe is heavily skewed toward growth, tech, and sub-investment-grade companies — factor tilt, not a balanced corporate exposure.</w:t>
      </w:r>
    </w:p>
    <w:p>
      <w:pPr>
        <w:pStyle w:val="ListParagraph"/>
        <w:numPr>
          <w:ilvl w:val="0"/>
          <w:numId w:val="2"/>
        </w:numPr>
        <w:spacing w:after="40" w:before="40" w:line="280"/>
      </w:pPr>
      <w:r>
        <w:rPr>
          <w:rFonts w:ascii="Arial" w:cs="Arial" w:eastAsia="Arial" w:hAnsi="Arial"/>
          <w:color w:val="262626"/>
          <w:sz w:val="20"/>
          <w:szCs w:val="20"/>
        </w:rPr>
        <w:t xml:space="preserve">Currency hedging required for the predominantly USD/EUR universe.</w:t>
      </w:r>
    </w:p>
    <w:p>
      <w:pPr>
        <w:pStyle w:val="ListParagraph"/>
        <w:numPr>
          <w:ilvl w:val="0"/>
          <w:numId w:val="2"/>
        </w:numPr>
        <w:spacing w:after="40" w:before="40" w:line="280"/>
      </w:pPr>
      <w:r>
        <w:rPr>
          <w:rFonts w:ascii="Arial" w:cs="Arial" w:eastAsia="Arial" w:hAnsi="Arial"/>
          <w:color w:val="262626"/>
          <w:sz w:val="20"/>
          <w:szCs w:val="20"/>
        </w:rPr>
        <w:t xml:space="preserve">In 2008, global convertibles fell ~33% — no defensive properties in a true credit/equity crisis.</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3–5% as a return enhancer, not a diversifier. Honest framing: convertibles are equity-substitute with downside cushioning, not a bond substitute. They will not preserve F1 in a market stress.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2"/>
              <w:left w:val="single" w:color="2E75B6" w:sz="12"/>
              <w:bottom w:val="single" w:color="2E75B6" w:sz="12"/>
              <w:right w:val="single" w:color="2E75B6"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w:t>
            </w:r>
          </w:p>
          <w:p>
            <w:pPr>
              <w:spacing w:after="40" w:before="40" w:line="280"/>
            </w:pPr>
            <w:r>
              <w:rPr>
                <w:rFonts w:ascii="Arial" w:cs="Arial" w:eastAsia="Arial" w:hAnsi="Arial"/>
                <w:color w:val="262626"/>
                <w:sz w:val="20"/>
                <w:szCs w:val="20"/>
              </w:rPr>
              <w:t xml:space="preserve">High return potential. Fails diversification when most needed. Net assessment is mixed — useful for return enhancement but does not preserve the bond sleeve's defensive role.</w:t>
            </w:r>
          </w:p>
        </w:tc>
      </w:tr>
    </w:tbl>
    <w:p>
      <w:pPr>
        <w:pStyle w:val="Heading2"/>
        <w:spacing w:after="140" w:before="280"/>
      </w:pPr>
      <w:r>
        <w:rPr>
          <w:rFonts w:ascii="Arial" w:cs="Arial" w:eastAsia="Arial" w:hAnsi="Arial"/>
          <w:b/>
          <w:bCs/>
          <w:color w:val="1F4E79"/>
          <w:sz w:val="26"/>
          <w:szCs w:val="26"/>
        </w:rPr>
        <w:t xml:space="preserve">#3 — Senior AAA–AA CLO Tranches (UCITS-Accessible)</w:t>
      </w:r>
    </w:p>
    <w:p>
      <w:pPr>
        <w:spacing w:after="80" w:before="80" w:line="280"/>
        <w:jc w:val="left"/>
      </w:pPr>
      <w:r>
        <w:rPr>
          <w:rFonts w:ascii="Arial" w:cs="Arial" w:eastAsia="Arial" w:hAnsi="Arial"/>
          <w:b/>
          <w:bCs/>
          <w:i w:val="false"/>
          <w:iCs w:val="false"/>
          <w:color w:val="548235"/>
          <w:sz w:val="20"/>
          <w:szCs w:val="20"/>
        </w:rPr>
        <w:t xml:space="preserve">Liquidity rating: </w:t>
      </w:r>
      <w:r>
        <w:rPr>
          <w:rFonts w:ascii="Arial" w:cs="Arial" w:eastAsia="Arial" w:hAnsi="Arial"/>
          <w:b/>
          <w:bCs/>
          <w:i w:val="false"/>
          <w:iCs w:val="false"/>
          <w:color w:val="548235"/>
          <w:sz w:val="20"/>
          <w:szCs w:val="20"/>
        </w:rPr>
        <w:t xml:space="preserve">★★★★★ — Daily via UCITS ETFs; bid/ask reasonable in normal markets</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Senior tranches of Collateralised Loan Obligations — structured pools of 150–250 senior secured leveraged loans, with the AAA tranche enjoying 30–40% subordination protection. No AAA CLO tranche has ever experienced principal loss in the asset class's 30-year history (including 2008–2009). Now broadly accessible via UCITS ETFs: Janus Henderson AAA CLO ETF, Invesco AAA CLO ETF, plus actively managed UCITS funds from Spire, Redding Ridge, Fair Oaks, Blackstone Credit. Floating rate (SARON/SOFR + 130–200 bps for AAA).</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+1.5% to +3.0% annualised (CHF-hedged net). In USD terms, a steady SOFR + 150–180 bps, which during NIRP (when SOFR-equivalent was ~0%) translated to a real, positive yield versus negative-yielding Swiss sovereigns. In 2024–2025 with rates at 4–5%, gross yields reached 6–7%.</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AAA CLO Tranches</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+0.05 to +0.15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+0.05 to +0.20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+0.15 to +0.35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+0.05 to +0.20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Duration</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6–9 years</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 (floating)</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color w:val="262626"/>
          <w:sz w:val="20"/>
          <w:szCs w:val="20"/>
        </w:rPr>
        <w:t xml:space="preserve">Investment-grade rated (AAA–AA) — fits the AAA–BBB mandate cleanly.</w:t>
      </w:r>
    </w:p>
    <w:p>
      <w:pPr>
        <w:pStyle w:val="ListParagraph"/>
        <w:numPr>
          <w:ilvl w:val="0"/>
          <w:numId w:val="2"/>
        </w:numPr>
        <w:spacing w:after="40" w:before="40" w:line="280"/>
      </w:pPr>
      <w:r>
        <w:rPr>
          <w:rFonts w:ascii="Arial" w:cs="Arial" w:eastAsia="Arial" w:hAnsi="Arial"/>
          <w:color w:val="262626"/>
          <w:sz w:val="20"/>
          <w:szCs w:val="20"/>
        </w:rPr>
        <w:t xml:space="preserve">Daily liquidity in ETF format — preserves F4 fully.</w:t>
      </w:r>
    </w:p>
    <w:p>
      <w:pPr>
        <w:pStyle w:val="ListParagraph"/>
        <w:numPr>
          <w:ilvl w:val="0"/>
          <w:numId w:val="2"/>
        </w:numPr>
        <w:spacing w:after="40" w:before="40" w:line="280"/>
      </w:pPr>
      <w:r>
        <w:rPr>
          <w:rFonts w:ascii="Arial" w:cs="Arial" w:eastAsia="Arial" w:hAnsi="Arial"/>
          <w:color w:val="262626"/>
          <w:sz w:val="20"/>
          <w:szCs w:val="20"/>
        </w:rPr>
        <w:t xml:space="preserve">Periodic income (quarterly distributions) — preserves F2.</w:t>
      </w:r>
    </w:p>
    <w:p>
      <w:pPr>
        <w:pStyle w:val="ListParagraph"/>
        <w:numPr>
          <w:ilvl w:val="0"/>
          <w:numId w:val="2"/>
        </w:numPr>
        <w:spacing w:after="40" w:before="40" w:line="280"/>
      </w:pPr>
      <w:r>
        <w:rPr>
          <w:rFonts w:ascii="Arial" w:cs="Arial" w:eastAsia="Arial" w:hAnsi="Arial"/>
          <w:color w:val="262626"/>
          <w:sz w:val="20"/>
          <w:szCs w:val="20"/>
        </w:rPr>
        <w:t xml:space="preserve">Low equity beta in normal markets — preserves F1 for rate-driven crises.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No duration risk</w:t>
      </w:r>
      <w:r>
        <w:rPr>
          <w:rFonts w:ascii="Arial" w:cs="Arial" w:eastAsia="Arial" w:hAnsi="Arial"/>
          <w:b w:val="false"/>
          <w:bCs w:val="false"/>
          <w:i w:val="false"/>
          <w:iCs w:val="false"/>
          <w:color w:val="262626"/>
          <w:sz w:val="20"/>
          <w:szCs w:val="20"/>
        </w:rPr>
        <w:t xml:space="preserve"> — directly solves the NIRP problem without giving up credit quality.</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Spread-widening risk in stress: </w:t>
      </w:r>
      <w:r>
        <w:rPr>
          <w:rFonts w:ascii="Arial" w:cs="Arial" w:eastAsia="Arial" w:hAnsi="Arial"/>
          <w:b w:val="false"/>
          <w:bCs w:val="false"/>
          <w:i w:val="false"/>
          <w:iCs w:val="false"/>
          <w:color w:val="262626"/>
          <w:sz w:val="20"/>
          <w:szCs w:val="20"/>
        </w:rPr>
        <w:t xml:space="preserve">even AAA CLOs widened ~150 bps in March 2020, causing 3–5% mark-to-market drawdowns. Less than equities, but more than sovereigns which rallied in flight-to-quality.</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Not a 2008-style hedge: </w:t>
      </w:r>
      <w:r>
        <w:rPr>
          <w:rFonts w:ascii="Arial" w:cs="Arial" w:eastAsia="Arial" w:hAnsi="Arial"/>
          <w:b w:val="false"/>
          <w:bCs w:val="false"/>
          <w:i w:val="false"/>
          <w:iCs w:val="false"/>
          <w:color w:val="262626"/>
          <w:sz w:val="20"/>
          <w:szCs w:val="20"/>
        </w:rPr>
        <w:t xml:space="preserve">in a financial crisis, all credit instruments correlate up; CLOs would lose value while AAA sovereigns gain. CLOs replace yield, not crisis hedge.</w:t>
      </w:r>
    </w:p>
    <w:p>
      <w:pPr>
        <w:pStyle w:val="ListParagraph"/>
        <w:numPr>
          <w:ilvl w:val="0"/>
          <w:numId w:val="2"/>
        </w:numPr>
        <w:spacing w:after="40" w:before="40" w:line="280"/>
      </w:pPr>
      <w:r>
        <w:rPr>
          <w:rFonts w:ascii="Arial" w:cs="Arial" w:eastAsia="Arial" w:hAnsi="Arial"/>
          <w:color w:val="262626"/>
          <w:sz w:val="20"/>
          <w:szCs w:val="20"/>
        </w:rPr>
        <w:t xml:space="preserve">Complexity and opacity — CLO managers' security selection matters; not a transparent product.</w:t>
      </w:r>
    </w:p>
    <w:p>
      <w:pPr>
        <w:pStyle w:val="ListParagraph"/>
        <w:numPr>
          <w:ilvl w:val="0"/>
          <w:numId w:val="2"/>
        </w:numPr>
        <w:spacing w:after="40" w:before="40" w:line="280"/>
      </w:pPr>
      <w:r>
        <w:rPr>
          <w:rFonts w:ascii="Arial" w:cs="Arial" w:eastAsia="Arial" w:hAnsi="Arial"/>
          <w:color w:val="262626"/>
          <w:sz w:val="20"/>
          <w:szCs w:val="20"/>
        </w:rPr>
        <w:t xml:space="preserve">USD-denominated universe; CHF hedging cost ~0.5–1.0% currently.</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5–8% to AAA CLO funds — primarily as a substitute for the Swiss bond sleeve where NIRP impact is most acute. The closest liquid, investment-grade, daily-traded substitute available.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48235" w:sz="12"/>
              <w:left w:val="single" w:color="548235" w:sz="12"/>
              <w:bottom w:val="single" w:color="548235" w:sz="12"/>
              <w:right w:val="single" w:color="548235" w:sz="12"/>
            </w:tcBorders>
            <w:shd w:fill="E2EFDA"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w:t>
            </w:r>
          </w:p>
          <w:p>
            <w:pPr>
              <w:spacing w:after="40" w:before="40" w:line="280"/>
            </w:pPr>
            <w:r>
              <w:rPr>
                <w:rFonts w:ascii="Arial" w:cs="Arial" w:eastAsia="Arial" w:hAnsi="Arial"/>
                <w:color w:val="262626"/>
                <w:sz w:val="20"/>
                <w:szCs w:val="20"/>
              </w:rPr>
              <w:t xml:space="preserve">The most structurally clean liquid replacement for the AAA–BBB sovereign bond mandate. Best partial replacement for the Swiss bond sleeve.</w:t>
            </w:r>
          </w:p>
        </w:tc>
      </w:tr>
    </w:tbl>
    <w:p>
      <w:pPr>
        <w:pStyle w:val="Heading2"/>
        <w:spacing w:after="140" w:before="280"/>
      </w:pPr>
      <w:r>
        <w:rPr>
          <w:rFonts w:ascii="Arial" w:cs="Arial" w:eastAsia="Arial" w:hAnsi="Arial"/>
          <w:b/>
          <w:bCs/>
          <w:color w:val="1F4E79"/>
          <w:sz w:val="26"/>
          <w:szCs w:val="26"/>
        </w:rPr>
        <w:t xml:space="preserve">#4 — Listed Infrastructure (Global Core, CHF-Hedged)</w:t>
      </w:r>
    </w:p>
    <w:p>
      <w:pPr>
        <w:spacing w:after="80" w:before="80" w:line="280"/>
        <w:jc w:val="left"/>
      </w:pPr>
      <w:r>
        <w:rPr>
          <w:rFonts w:ascii="Arial" w:cs="Arial" w:eastAsia="Arial" w:hAnsi="Arial"/>
          <w:b/>
          <w:bCs/>
          <w:i w:val="false"/>
          <w:iCs w:val="false"/>
          <w:color w:val="548235"/>
          <w:sz w:val="20"/>
          <w:szCs w:val="20"/>
        </w:rPr>
        <w:t xml:space="preserve">Liquidity rating: </w:t>
      </w:r>
      <w:r>
        <w:rPr>
          <w:rFonts w:ascii="Arial" w:cs="Arial" w:eastAsia="Arial" w:hAnsi="Arial"/>
          <w:b/>
          <w:bCs/>
          <w:i w:val="false"/>
          <w:iCs w:val="false"/>
          <w:color w:val="548235"/>
          <w:sz w:val="20"/>
          <w:szCs w:val="20"/>
        </w:rPr>
        <w:t xml:space="preserve">★★★★ — Daily exchange-traded; concentrated in mid/large-cap names</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Equity in regulated/contracted real-asset operators — toll roads, airports, electricity grids, water utilities, pipelines. Global universe ~USD 1.5 trillion market cap. Benchmarks: FTSE Global Core Infrastructure 50/50, S&amp;P Global Infrastructure. CHF-hedged access via iShares, First Sentier, CBRE Clarion, Zurich Insurance AM, Swiss Life AM, Lazard.</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+6% to +9% annualised (CHF-hedged), with revenues typically CPI-indexed via regulatory frameworks (RAB-based regulation in Europe) or escalator clauses in concession contracts. Real return preservation in a way bonds cannot match.</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World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Listed Infrastructure</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+0.25 to +0.40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+0.20</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+0.30 to +0.45</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Bonds (18%)</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+0.25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+0.20</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+0.25 to +0.40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8–12%</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color w:val="262626"/>
          <w:sz w:val="20"/>
          <w:szCs w:val="20"/>
        </w:rPr>
        <w:t xml:space="preserve">Stable, contractual, long-duration cash flows — economically akin to inflation-linked bonds.</w:t>
      </w:r>
    </w:p>
    <w:p>
      <w:pPr>
        <w:pStyle w:val="ListParagraph"/>
        <w:numPr>
          <w:ilvl w:val="0"/>
          <w:numId w:val="2"/>
        </w:numPr>
        <w:spacing w:after="40" w:before="40" w:line="280"/>
      </w:pPr>
      <w:r>
        <w:rPr>
          <w:rFonts w:ascii="Arial" w:cs="Arial" w:eastAsia="Arial" w:hAnsi="Arial"/>
          <w:color w:val="262626"/>
          <w:sz w:val="20"/>
          <w:szCs w:val="20"/>
        </w:rPr>
        <w:t xml:space="preserve">Low cyclicality — utilities and toll roads continue earning in recessions.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Positive inflation linkage</w:t>
      </w:r>
      <w:r>
        <w:rPr>
          <w:rFonts w:ascii="Arial" w:cs="Arial" w:eastAsia="Arial" w:hAnsi="Arial"/>
          <w:b w:val="false"/>
          <w:bCs w:val="false"/>
          <w:i w:val="false"/>
          <w:iCs w:val="false"/>
          <w:color w:val="262626"/>
          <w:sz w:val="20"/>
          <w:szCs w:val="20"/>
        </w:rPr>
        <w:t xml:space="preserve"> — solves the bond sleeve's core weakness.</w:t>
      </w:r>
    </w:p>
    <w:p>
      <w:pPr>
        <w:pStyle w:val="ListParagraph"/>
        <w:numPr>
          <w:ilvl w:val="0"/>
          <w:numId w:val="2"/>
        </w:numPr>
        <w:spacing w:after="40" w:before="40" w:line="280"/>
      </w:pPr>
      <w:r>
        <w:rPr>
          <w:rFonts w:ascii="Arial" w:cs="Arial" w:eastAsia="Arial" w:hAnsi="Arial"/>
          <w:color w:val="262626"/>
          <w:sz w:val="20"/>
          <w:szCs w:val="20"/>
        </w:rPr>
        <w:t xml:space="preserve">Daily liquid (preserves F4).</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color w:val="262626"/>
          <w:sz w:val="20"/>
          <w:szCs w:val="20"/>
        </w:rPr>
        <w:t xml:space="preserve">σ of 8–12% materially weakens F3 (volatility damping).</w:t>
      </w:r>
    </w:p>
    <w:p>
      <w:pPr>
        <w:pStyle w:val="ListParagraph"/>
        <w:numPr>
          <w:ilvl w:val="0"/>
          <w:numId w:val="2"/>
        </w:numPr>
        <w:spacing w:after="40" w:before="40" w:line="280"/>
      </w:pPr>
      <w:r>
        <w:rPr>
          <w:rFonts w:ascii="Arial" w:cs="Arial" w:eastAsia="Arial" w:hAnsi="Arial"/>
          <w:color w:val="262626"/>
          <w:sz w:val="20"/>
          <w:szCs w:val="20"/>
        </w:rPr>
        <w:t xml:space="preserve">Equity beta rises in risk-off events — March 2020 drawdown was ~28%, comparable to broad equities. F1 partially compromised.</w:t>
      </w:r>
    </w:p>
    <w:p>
      <w:pPr>
        <w:pStyle w:val="ListParagraph"/>
        <w:numPr>
          <w:ilvl w:val="0"/>
          <w:numId w:val="2"/>
        </w:numPr>
        <w:spacing w:after="40" w:before="40" w:line="280"/>
      </w:pPr>
      <w:r>
        <w:rPr>
          <w:rFonts w:ascii="Arial" w:cs="Arial" w:eastAsia="Arial" w:hAnsi="Arial"/>
          <w:color w:val="262626"/>
          <w:sz w:val="20"/>
          <w:szCs w:val="20"/>
        </w:rPr>
        <w:t xml:space="preserve">Increases overlap with the existing 5% real estate sleeve — concentration in "real assets" factor.</w:t>
      </w:r>
    </w:p>
    <w:p>
      <w:pPr>
        <w:pStyle w:val="ListParagraph"/>
        <w:numPr>
          <w:ilvl w:val="0"/>
          <w:numId w:val="2"/>
        </w:numPr>
        <w:spacing w:after="40" w:before="40" w:line="280"/>
      </w:pPr>
      <w:r>
        <w:rPr>
          <w:rFonts w:ascii="Arial" w:cs="Arial" w:eastAsia="Arial" w:hAnsi="Arial"/>
          <w:color w:val="262626"/>
          <w:sz w:val="20"/>
          <w:szCs w:val="20"/>
        </w:rPr>
        <w:t xml:space="preserve">Political / regulatory risk: tariff caps, concession renegotiations, nationalisation (UK water, Southern Europe utilities).</w:t>
      </w:r>
    </w:p>
    <w:p>
      <w:pPr>
        <w:pStyle w:val="ListParagraph"/>
        <w:numPr>
          <w:ilvl w:val="0"/>
          <w:numId w:val="2"/>
        </w:numPr>
        <w:spacing w:after="40" w:before="40" w:line="280"/>
      </w:pPr>
      <w:r>
        <w:rPr>
          <w:rFonts w:ascii="Arial" w:cs="Arial" w:eastAsia="Arial" w:hAnsi="Arial"/>
          <w:color w:val="262626"/>
          <w:sz w:val="20"/>
          <w:szCs w:val="20"/>
        </w:rPr>
        <w:t xml:space="preserve">Currency hedging on global universe.</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6–10% as a substitute for a portion of the world bond sleeve. Effective yield-and-inflation-hedging tool but not a true bond replacement for crisis hedging.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48235" w:sz="12"/>
              <w:left w:val="single" w:color="548235" w:sz="12"/>
              <w:bottom w:val="single" w:color="548235" w:sz="12"/>
              <w:right w:val="single" w:color="548235" w:sz="12"/>
            </w:tcBorders>
            <w:shd w:fill="E2EFDA"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w:t>
            </w:r>
          </w:p>
          <w:p>
            <w:pPr>
              <w:spacing w:after="40" w:before="40" w:line="280"/>
            </w:pPr>
            <w:r>
              <w:rPr>
                <w:rFonts w:ascii="Arial" w:cs="Arial" w:eastAsia="Arial" w:hAnsi="Arial"/>
                <w:color w:val="262626"/>
                <w:sz w:val="20"/>
                <w:szCs w:val="20"/>
              </w:rPr>
              <w:t xml:space="preserve">Strong replacement for income and inflation-protection functions. Compromised diversification in equity crashes — pair with crisis hedges (gold, CTAs, ILS).</w:t>
            </w:r>
          </w:p>
        </w:tc>
      </w:tr>
    </w:tbl>
    <w:p>
      <w:pPr>
        <w:pStyle w:val="Heading2"/>
        <w:spacing w:after="140" w:before="280"/>
      </w:pPr>
      <w:r>
        <w:rPr>
          <w:rFonts w:ascii="Arial" w:cs="Arial" w:eastAsia="Arial" w:hAnsi="Arial"/>
          <w:b/>
          <w:bCs/>
          <w:color w:val="1F4E79"/>
          <w:sz w:val="26"/>
          <w:szCs w:val="26"/>
        </w:rPr>
        <w:t xml:space="preserve">#5 — Managed Futures / Trend-Following (Liquid CTAs)</w:t>
      </w:r>
    </w:p>
    <w:p>
      <w:pPr>
        <w:spacing w:after="80" w:before="80" w:line="280"/>
        <w:jc w:val="left"/>
      </w:pPr>
      <w:r>
        <w:rPr>
          <w:rFonts w:ascii="Arial" w:cs="Arial" w:eastAsia="Arial" w:hAnsi="Arial"/>
          <w:b/>
          <w:bCs/>
          <w:i w:val="false"/>
          <w:iCs w:val="false"/>
          <w:color w:val="548235"/>
          <w:sz w:val="20"/>
          <w:szCs w:val="20"/>
        </w:rPr>
        <w:t xml:space="preserve">Liquidity rating: </w:t>
      </w:r>
      <w:r>
        <w:rPr>
          <w:rFonts w:ascii="Arial" w:cs="Arial" w:eastAsia="Arial" w:hAnsi="Arial"/>
          <w:b/>
          <w:bCs/>
          <w:i w:val="false"/>
          <w:iCs w:val="false"/>
          <w:color w:val="548235"/>
          <w:sz w:val="20"/>
          <w:szCs w:val="20"/>
        </w:rPr>
        <w:t xml:space="preserve">★★★★ — Daily or weekly via UCITS; underlying is the most liquid futures markets in the world</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Systematic strategies trading liquid global futures across equities, rates, currencies, and commodities, taking long or short positions based on trend signals. Key managers in UCITS format: Man AHL, Lynx, Winton, Aspect, Lyxor/Amundi, BlueTrend. Famous for delivering positive returns precisely when bonds and equities fall together — the SG Trend Index returned +27% in 2022 while a 60/40 portfolio lost ~17%.</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+3% to +7% annualised, depending on the trending nature of markets. CTAs tend to underperform in choppy, range-bound markets and excel in strongly-trending environments. The 2015–2020 period was mixed; 2022 was their best year in two decades.</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Managed Futures (CTAs)</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−0.20 to +0.10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−0.20 to +0.10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+0.20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8–14% (target σ, manager-set)</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Genuine crisis-alpha</w:t>
      </w:r>
      <w:r>
        <w:rPr>
          <w:rFonts w:ascii="Arial" w:cs="Arial" w:eastAsia="Arial" w:hAnsi="Arial"/>
          <w:b w:val="false"/>
          <w:bCs w:val="false"/>
          <w:i w:val="false"/>
          <w:iCs w:val="false"/>
          <w:color w:val="262626"/>
          <w:sz w:val="20"/>
          <w:szCs w:val="20"/>
        </w:rPr>
        <w:t xml:space="preserve"> — the only asset class to consistently rally in extended drawdowns (positive in 2000–2002, 2008, 2022). Arguably better than bonds at F1 in inflation-driven crises.</w:t>
      </w:r>
    </w:p>
    <w:p>
      <w:pPr>
        <w:pStyle w:val="ListParagraph"/>
        <w:numPr>
          <w:ilvl w:val="0"/>
          <w:numId w:val="2"/>
        </w:numPr>
        <w:spacing w:after="40" w:before="40" w:line="280"/>
      </w:pPr>
      <w:r>
        <w:rPr>
          <w:rFonts w:ascii="Arial" w:cs="Arial" w:eastAsia="Arial" w:hAnsi="Arial"/>
          <w:color w:val="262626"/>
          <w:sz w:val="20"/>
          <w:szCs w:val="20"/>
        </w:rPr>
        <w:t xml:space="preserve">Near-zero average correlation with equities AND bonds — true diversifier.</w:t>
      </w:r>
    </w:p>
    <w:p>
      <w:pPr>
        <w:pStyle w:val="ListParagraph"/>
        <w:numPr>
          <w:ilvl w:val="0"/>
          <w:numId w:val="2"/>
        </w:numPr>
        <w:spacing w:after="40" w:before="40" w:line="280"/>
      </w:pPr>
      <w:r>
        <w:rPr>
          <w:rFonts w:ascii="Arial" w:cs="Arial" w:eastAsia="Arial" w:hAnsi="Arial"/>
          <w:color w:val="262626"/>
          <w:sz w:val="20"/>
          <w:szCs w:val="20"/>
        </w:rPr>
        <w:t xml:space="preserve">Daily-traded UCITS structures preserve F4.</w:t>
      </w:r>
    </w:p>
    <w:p>
      <w:pPr>
        <w:pStyle w:val="ListParagraph"/>
        <w:numPr>
          <w:ilvl w:val="0"/>
          <w:numId w:val="2"/>
        </w:numPr>
        <w:spacing w:after="40" w:before="40" w:line="280"/>
      </w:pPr>
      <w:r>
        <w:rPr>
          <w:rFonts w:ascii="Arial" w:cs="Arial" w:eastAsia="Arial" w:hAnsi="Arial"/>
          <w:color w:val="262626"/>
          <w:sz w:val="20"/>
          <w:szCs w:val="20"/>
        </w:rPr>
        <w:t xml:space="preserve">Liquid underlying (futures markets dwarf cash bond markets).</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No income / no carry</w:t>
      </w:r>
      <w:r>
        <w:rPr>
          <w:rFonts w:ascii="Arial" w:cs="Arial" w:eastAsia="Arial" w:hAnsi="Arial"/>
          <w:b w:val="false"/>
          <w:bCs w:val="false"/>
          <w:i w:val="false"/>
          <w:iCs w:val="false"/>
          <w:color w:val="262626"/>
          <w:sz w:val="20"/>
          <w:szCs w:val="20"/>
        </w:rPr>
        <w:t xml:space="preserve"> — fails F2. Returns are pure capital appreciation/depreciation.</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Higher volatility</w:t>
      </w:r>
      <w:r>
        <w:rPr>
          <w:rFonts w:ascii="Arial" w:cs="Arial" w:eastAsia="Arial" w:hAnsi="Arial"/>
          <w:b w:val="false"/>
          <w:bCs w:val="false"/>
          <w:i w:val="false"/>
          <w:iCs w:val="false"/>
          <w:color w:val="262626"/>
          <w:sz w:val="20"/>
          <w:szCs w:val="20"/>
        </w:rPr>
        <w:t xml:space="preserve"> — σ targeted at 8–14% by most managers; weakens F3.</w:t>
      </w:r>
    </w:p>
    <w:p>
      <w:pPr>
        <w:pStyle w:val="ListParagraph"/>
        <w:numPr>
          <w:ilvl w:val="0"/>
          <w:numId w:val="2"/>
        </w:numPr>
        <w:spacing w:after="40" w:before="40" w:line="280"/>
      </w:pPr>
      <w:r>
        <w:rPr>
          <w:rFonts w:ascii="Arial" w:cs="Arial" w:eastAsia="Arial" w:hAnsi="Arial"/>
          <w:color w:val="262626"/>
          <w:sz w:val="20"/>
          <w:szCs w:val="20"/>
        </w:rPr>
        <w:t xml:space="preserve">Negative skewness possible in regime shifts — trend strategies suffer when markets sharply reverse (e.g., 2009 rebound, 2023 H1 reversal).</w:t>
      </w:r>
    </w:p>
    <w:p>
      <w:pPr>
        <w:pStyle w:val="ListParagraph"/>
        <w:numPr>
          <w:ilvl w:val="0"/>
          <w:numId w:val="2"/>
        </w:numPr>
        <w:spacing w:after="40" w:before="40" w:line="280"/>
      </w:pPr>
      <w:r>
        <w:rPr>
          <w:rFonts w:ascii="Arial" w:cs="Arial" w:eastAsia="Arial" w:hAnsi="Arial"/>
          <w:color w:val="262626"/>
          <w:sz w:val="20"/>
          <w:szCs w:val="20"/>
        </w:rPr>
        <w:t xml:space="preserve">Performance is highly manager-dependent; dispersion across CTA funds is wide.</w:t>
      </w:r>
    </w:p>
    <w:p>
      <w:pPr>
        <w:pStyle w:val="ListParagraph"/>
        <w:numPr>
          <w:ilvl w:val="0"/>
          <w:numId w:val="2"/>
        </w:numPr>
        <w:spacing w:after="40" w:before="40" w:line="280"/>
      </w:pPr>
      <w:r>
        <w:rPr>
          <w:rFonts w:ascii="Arial" w:cs="Arial" w:eastAsia="Arial" w:hAnsi="Arial"/>
          <w:color w:val="262626"/>
          <w:sz w:val="20"/>
          <w:szCs w:val="20"/>
        </w:rPr>
        <w:t xml:space="preserve">Fee structures historically high, though UCITS versions now offer 1.0–1.5% TER.</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3–6% as a structural diversifier. The CTA sleeve is conceptually different from bonds — it is not buying yield, it is buying uncorrelated drawdown protection. In academic terms, CTAs deliver positive convexity to volatility and left-tail protection that no bond can replicate.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48235" w:sz="12"/>
              <w:left w:val="single" w:color="548235" w:sz="12"/>
              <w:bottom w:val="single" w:color="548235" w:sz="12"/>
              <w:right w:val="single" w:color="548235" w:sz="12"/>
            </w:tcBorders>
            <w:shd w:fill="E2EFDA"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w:t>
            </w:r>
          </w:p>
          <w:p>
            <w:pPr>
              <w:spacing w:after="40" w:before="40" w:line="280"/>
            </w:pPr>
            <w:r>
              <w:rPr>
                <w:rFonts w:ascii="Arial" w:cs="Arial" w:eastAsia="Arial" w:hAnsi="Arial"/>
                <w:color w:val="262626"/>
                <w:sz w:val="20"/>
                <w:szCs w:val="20"/>
              </w:rPr>
              <w:t xml:space="preserve">Best diversifier in stress. Fails income function. Conceptually orthogonal to bonds — replaces the crisis-hedge property differently.</w:t>
            </w:r>
          </w:p>
        </w:tc>
      </w:tr>
    </w:tbl>
    <w:p>
      <w:pPr>
        <w:pStyle w:val="Heading2"/>
        <w:spacing w:after="140" w:before="280"/>
      </w:pPr>
      <w:r>
        <w:rPr>
          <w:rFonts w:ascii="Arial" w:cs="Arial" w:eastAsia="Arial" w:hAnsi="Arial"/>
          <w:b/>
          <w:bCs/>
          <w:color w:val="1F4E79"/>
          <w:sz w:val="26"/>
          <w:szCs w:val="26"/>
        </w:rPr>
        <w:t xml:space="preserve">#6 — Insurance-Linked Securities (ILS) / Catastrophe Bonds</w:t>
      </w:r>
    </w:p>
    <w:p>
      <w:pPr>
        <w:spacing w:after="80" w:before="80" w:line="280"/>
        <w:jc w:val="left"/>
      </w:pPr>
      <w:r>
        <w:rPr>
          <w:rFonts w:ascii="Arial" w:cs="Arial" w:eastAsia="Arial" w:hAnsi="Arial"/>
          <w:b/>
          <w:bCs/>
          <w:i w:val="false"/>
          <w:iCs w:val="false"/>
          <w:color w:val="B45F06"/>
          <w:sz w:val="20"/>
          <w:szCs w:val="20"/>
        </w:rPr>
        <w:t xml:space="preserve">Liquidity rating: </w:t>
      </w:r>
      <w:r>
        <w:rPr>
          <w:rFonts w:ascii="Arial" w:cs="Arial" w:eastAsia="Arial" w:hAnsi="Arial"/>
          <w:b/>
          <w:bCs/>
          <w:i w:val="false"/>
          <w:iCs w:val="false"/>
          <w:color w:val="B45F06"/>
          <w:sz w:val="20"/>
          <w:szCs w:val="20"/>
        </w:rPr>
        <w:t xml:space="preserve">★★★ — Monthly subscription/redemption; secondary market thin</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Bonds whose principal repayment is contingent on the absence of defined natural catastrophes (hurricanes, earthquakes, floods). Returns are generated by insurance premium spread, structurally independent of interest rates, credit cycles, and economic growth. Switzerland (Zurich) is one of the two global ILS hubs alongside Bermuda — natural institutional fit. Managers domiciled locally include Twelve Capital, LGT ILS Partners, Plenum Investments, Solidum.</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+3.5% to +6.0% annualised (USD-hedged to CHF). Spread is set by reinsurance market dynamics and is entirely decoupled from monetary policy.</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ILS / Cat Bonds</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 to +0.05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 to +0.05</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 to +0.10</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Annualised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3–6% *</w:t>
            </w:r>
          </w:p>
        </w:tc>
      </w:tr>
    </w:tbl>
    <w:p>
      <w:pPr>
        <w:spacing w:after="80" w:before="80" w:line="280"/>
        <w:jc w:val="left"/>
      </w:pPr>
      <w:r>
        <w:rPr>
          <w:rFonts w:ascii="Arial" w:cs="Arial" w:eastAsia="Arial" w:hAnsi="Arial"/>
          <w:b w:val="false"/>
          <w:bCs w:val="false"/>
          <w:i/>
          <w:iCs/>
          <w:color w:val="262626"/>
          <w:sz w:val="16"/>
          <w:szCs w:val="16"/>
        </w:rPr>
        <w:t xml:space="preserve">* Important non-Gaussian tail risk caveat (see below)</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Near-zero correlation</w:t>
      </w:r>
      <w:r>
        <w:rPr>
          <w:rFonts w:ascii="Arial" w:cs="Arial" w:eastAsia="Arial" w:hAnsi="Arial"/>
          <w:b w:val="false"/>
          <w:bCs w:val="false"/>
          <w:i w:val="false"/>
          <w:iCs w:val="false"/>
          <w:color w:val="262626"/>
          <w:sz w:val="20"/>
          <w:szCs w:val="20"/>
        </w:rPr>
        <w:t xml:space="preserve"> with all other portfolio sleeves — best F1 preservation for equity-driven crises.</w:t>
      </w:r>
    </w:p>
    <w:p>
      <w:pPr>
        <w:pStyle w:val="ListParagraph"/>
        <w:numPr>
          <w:ilvl w:val="0"/>
          <w:numId w:val="2"/>
        </w:numPr>
        <w:spacing w:after="40" w:before="40" w:line="280"/>
      </w:pPr>
      <w:r>
        <w:rPr>
          <w:rFonts w:ascii="Arial" w:cs="Arial" w:eastAsia="Arial" w:hAnsi="Arial"/>
          <w:color w:val="262626"/>
          <w:sz w:val="20"/>
          <w:szCs w:val="20"/>
        </w:rPr>
        <w:t xml:space="preserve">Periodic premium income — preserves F2.</w:t>
      </w:r>
    </w:p>
    <w:p>
      <w:pPr>
        <w:pStyle w:val="ListParagraph"/>
        <w:numPr>
          <w:ilvl w:val="0"/>
          <w:numId w:val="2"/>
        </w:numPr>
        <w:spacing w:after="40" w:before="40" w:line="280"/>
      </w:pPr>
      <w:r>
        <w:rPr>
          <w:rFonts w:ascii="Arial" w:cs="Arial" w:eastAsia="Arial" w:hAnsi="Arial"/>
          <w:color w:val="262626"/>
          <w:sz w:val="20"/>
          <w:szCs w:val="20"/>
        </w:rPr>
        <w:t xml:space="preserve">Low reported σ — preserves F3.</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No duration / interest rate sensitivity</w:t>
      </w:r>
      <w:r>
        <w:rPr>
          <w:rFonts w:ascii="Arial" w:cs="Arial" w:eastAsia="Arial" w:hAnsi="Arial"/>
          <w:b w:val="false"/>
          <w:bCs w:val="false"/>
          <w:i w:val="false"/>
          <w:iCs w:val="false"/>
          <w:color w:val="262626"/>
          <w:sz w:val="20"/>
          <w:szCs w:val="20"/>
        </w:rPr>
        <w:t xml:space="preserve"> — the cleanest structural escape from NIRP.</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Catastrophe tail risk is non-normal: </w:t>
      </w:r>
      <w:r>
        <w:rPr>
          <w:rFonts w:ascii="Arial" w:cs="Arial" w:eastAsia="Arial" w:hAnsi="Arial"/>
          <w:b w:val="false"/>
          <w:bCs w:val="false"/>
          <w:i w:val="false"/>
          <w:iCs w:val="false"/>
          <w:color w:val="262626"/>
          <w:sz w:val="20"/>
          <w:szCs w:val="20"/>
        </w:rPr>
        <w:t xml:space="preserve">a major hurricane season or Cascadia earthquake can trigger 15–30% losses in a single year. Standard mean-variance frameworks systematically understate this risk. A Master of Finance paper should use </w:t>
      </w:r>
      <w:r>
        <w:rPr>
          <w:rFonts w:ascii="Arial" w:cs="Arial" w:eastAsia="Arial" w:hAnsi="Arial"/>
          <w:b/>
          <w:bCs/>
          <w:i/>
          <w:iCs/>
          <w:color w:val="262626"/>
          <w:sz w:val="20"/>
          <w:szCs w:val="20"/>
        </w:rPr>
        <w:t xml:space="preserve">CVaR at 99% or scenario simulation</w:t>
      </w:r>
      <w:r>
        <w:rPr>
          <w:rFonts w:ascii="Arial" w:cs="Arial" w:eastAsia="Arial" w:hAnsi="Arial"/>
          <w:b w:val="false"/>
          <w:bCs w:val="false"/>
          <w:i w:val="false"/>
          <w:iCs w:val="false"/>
          <w:color w:val="262626"/>
          <w:sz w:val="20"/>
          <w:szCs w:val="20"/>
        </w:rPr>
        <w:t xml:space="preserve">, not σ.</w:t>
      </w:r>
    </w:p>
    <w:p>
      <w:pPr>
        <w:pStyle w:val="ListParagraph"/>
        <w:numPr>
          <w:ilvl w:val="0"/>
          <w:numId w:val="2"/>
        </w:numPr>
        <w:spacing w:after="40" w:before="40" w:line="280"/>
      </w:pPr>
      <w:r>
        <w:rPr>
          <w:rFonts w:ascii="Arial" w:cs="Arial" w:eastAsia="Arial" w:hAnsi="Arial"/>
          <w:color w:val="262626"/>
          <w:sz w:val="20"/>
          <w:szCs w:val="20"/>
        </w:rPr>
        <w:t xml:space="preserve">Does not hedge a 2008-style financial crisis — ILS is neutral, not positive, in non-catastrophe equity crashes.</w:t>
      </w:r>
    </w:p>
    <w:p>
      <w:pPr>
        <w:pStyle w:val="ListParagraph"/>
        <w:numPr>
          <w:ilvl w:val="0"/>
          <w:numId w:val="2"/>
        </w:numPr>
        <w:spacing w:after="40" w:before="40" w:line="280"/>
      </w:pPr>
      <w:r>
        <w:rPr>
          <w:rFonts w:ascii="Arial" w:cs="Arial" w:eastAsia="Arial" w:hAnsi="Arial"/>
          <w:color w:val="262626"/>
          <w:sz w:val="20"/>
          <w:szCs w:val="20"/>
        </w:rPr>
        <w:t xml:space="preserve">Monthly liquidity at best — partial F4 compromise.</w:t>
      </w:r>
    </w:p>
    <w:p>
      <w:pPr>
        <w:pStyle w:val="ListParagraph"/>
        <w:numPr>
          <w:ilvl w:val="0"/>
          <w:numId w:val="2"/>
        </w:numPr>
        <w:spacing w:after="40" w:before="40" w:line="280"/>
      </w:pPr>
      <w:r>
        <w:rPr>
          <w:rFonts w:ascii="Arial" w:cs="Arial" w:eastAsia="Arial" w:hAnsi="Arial"/>
          <w:color w:val="262626"/>
          <w:sz w:val="20"/>
          <w:szCs w:val="20"/>
        </w:rPr>
        <w:t xml:space="preserve">USD-dominated universe; CHF hedging required.</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5–8% primarily replacing the Swiss bond sleeve. The structural diversification quality is the strongest of any candidate, but liquidity and tail risk constraints cap the prudent allocation size.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48235" w:sz="12"/>
              <w:left w:val="single" w:color="548235" w:sz="12"/>
              <w:bottom w:val="single" w:color="548235" w:sz="12"/>
              <w:right w:val="single" w:color="548235" w:sz="12"/>
            </w:tcBorders>
            <w:shd w:fill="E2EFDA"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 on covariance / ★★★ on liquidity</w:t>
            </w:r>
          </w:p>
          <w:p>
            <w:pPr>
              <w:spacing w:after="40" w:before="40" w:line="280"/>
            </w:pPr>
            <w:r>
              <w:rPr>
                <w:rFonts w:ascii="Arial" w:cs="Arial" w:eastAsia="Arial" w:hAnsi="Arial"/>
                <w:color w:val="262626"/>
                <w:sz w:val="20"/>
                <w:szCs w:val="20"/>
              </w:rPr>
              <w:t xml:space="preserve">Strongest pure diversifier in the candidate set. Liquidity constraint and non-Gaussian tail risk cap the size of the allocation.</w:t>
            </w:r>
          </w:p>
        </w:tc>
      </w:tr>
    </w:tbl>
    <w:p>
      <w:pPr>
        <w:pStyle w:val="Heading2"/>
        <w:spacing w:after="140" w:before="280"/>
      </w:pPr>
      <w:r>
        <w:rPr>
          <w:rFonts w:ascii="Arial" w:cs="Arial" w:eastAsia="Arial" w:hAnsi="Arial"/>
          <w:b/>
          <w:bCs/>
          <w:color w:val="1F4E79"/>
          <w:sz w:val="26"/>
          <w:szCs w:val="26"/>
        </w:rPr>
        <w:t xml:space="preserve">#7 — Private Credit / Senior Secured Direct Lending (LEAST LIQUID)</w:t>
      </w:r>
    </w:p>
    <w:p>
      <w:pPr>
        <w:spacing w:after="80" w:before="80" w:line="280"/>
        <w:jc w:val="left"/>
      </w:pPr>
      <w:r>
        <w:rPr>
          <w:rFonts w:ascii="Arial" w:cs="Arial" w:eastAsia="Arial" w:hAnsi="Arial"/>
          <w:b/>
          <w:bCs/>
          <w:i w:val="false"/>
          <w:iCs w:val="false"/>
          <w:color w:val="C00000"/>
          <w:sz w:val="20"/>
          <w:szCs w:val="20"/>
        </w:rPr>
        <w:t xml:space="preserve">Liquidity rating: </w:t>
      </w:r>
      <w:r>
        <w:rPr>
          <w:rFonts w:ascii="Arial" w:cs="Arial" w:eastAsia="Arial" w:hAnsi="Arial"/>
          <w:b/>
          <w:bCs/>
          <w:i w:val="false"/>
          <w:iCs w:val="false"/>
          <w:color w:val="C00000"/>
          <w:sz w:val="20"/>
          <w:szCs w:val="20"/>
        </w:rPr>
        <w:t xml:space="preserve">★ — 4–7 year lock-up, capital calls, no secondary market</w:t>
      </w:r>
    </w:p>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What it is</w:t>
      </w:r>
    </w:p>
    <w:p>
      <w:pPr>
        <w:spacing w:after="80" w:before="80" w:line="280"/>
        <w:jc w:val="left"/>
      </w:pPr>
      <w:r>
        <w:rPr>
          <w:rFonts w:ascii="Arial" w:cs="Arial" w:eastAsia="Arial" w:hAnsi="Arial"/>
          <w:b w:val="false"/>
          <w:bCs w:val="false"/>
          <w:i w:val="false"/>
          <w:iCs w:val="false"/>
          <w:color w:val="262626"/>
          <w:sz w:val="20"/>
          <w:szCs w:val="20"/>
        </w:rPr>
        <w:t xml:space="preserve">Floating-rate, senior secured loans to non-listed European mid-market companies. DACH region focus is natural for CHF portfolios. Swiss/European managers: Partners Group (Baar), Adveq, Patrimonium, Kartesia, Permira Credit, Ares.</w:t>
      </w:r>
    </w:p>
    <w:p>
      <w:pPr>
        <w:pStyle w:val="Heading4"/>
        <w:spacing w:after="60" w:before="160"/>
      </w:pPr>
      <w:r>
        <w:rPr>
          <w:rFonts w:ascii="Arial" w:cs="Arial" w:eastAsia="Arial" w:hAnsi="Arial"/>
          <w:b/>
          <w:bCs/>
          <w:i/>
          <w:iCs/>
          <w:color w:val="262626"/>
          <w:sz w:val="20"/>
          <w:szCs w:val="20"/>
        </w:rPr>
        <w:t xml:space="preserve">Return in low-rate environments (2015–2021)</w:t>
      </w:r>
    </w:p>
    <w:p>
      <w:pPr>
        <w:spacing w:after="80" w:before="80" w:line="280"/>
        <w:jc w:val="left"/>
      </w:pPr>
      <w:r>
        <w:rPr>
          <w:rFonts w:ascii="Arial" w:cs="Arial" w:eastAsia="Arial" w:hAnsi="Arial"/>
          <w:b w:val="false"/>
          <w:bCs w:val="false"/>
          <w:i w:val="false"/>
          <w:iCs w:val="false"/>
          <w:color w:val="262626"/>
          <w:sz w:val="20"/>
          <w:szCs w:val="20"/>
        </w:rPr>
        <w:t xml:space="preserve">Approximately +4.5% to +7.0% net annualised = SARON (~0%) + 500–650 bps spread + arrangement fees. The floating-rate structure means spread income is decoupled from the level of risk-free rates.</w:t>
      </w:r>
    </w:p>
    <w:p>
      <w:pPr>
        <w:pStyle w:val="Heading4"/>
        <w:spacing w:after="60" w:before="160"/>
      </w:pPr>
      <w:r>
        <w:rPr>
          <w:rFonts w:ascii="Arial" w:cs="Arial" w:eastAsia="Arial" w:hAnsi="Arial"/>
          <w:b/>
          <w:bCs/>
          <w:i/>
          <w:iCs/>
          <w:color w:val="262626"/>
          <w:sz w:val="20"/>
          <w:szCs w:val="20"/>
        </w:rPr>
        <w:t xml:space="preserve">Variance-covariance fit</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6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Pairwise comparison</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Swiss Bonds (current)</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Private Credit</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Swiss Equities (25%)</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−0.05 to +0.10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+0.05 (rep.) / +0.15–0.35 (Dimson-adj.)</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Equities (25%)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0.00 to +0.15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+0.05 (rep.) / +0.20–0.40 (Dimson-adj.)</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World Bonds (24%)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+0.60 to +0.80</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+0.25</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vs. Real Estate (5%)</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+0.10 to +0.25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+0.10 to +0.25</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Reported σ</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2–4% (smoothed)</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True economic σ</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6–10% (un-smoothed)</w:t>
            </w:r>
          </w:p>
        </w:tc>
      </w:tr>
    </w:tbl>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12"/>
              <w:left w:val="single" w:color="C00000" w:sz="12"/>
              <w:bottom w:val="single" w:color="C00000" w:sz="12"/>
              <w:right w:val="single" w:color="C00000" w:sz="12"/>
            </w:tcBorders>
            <w:shd w:fill="FCE4D6"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CRITICAL ACADEMIC FLAG — The Smoothing Illusion</w:t>
            </w:r>
          </w:p>
          <w:p>
            <w:pPr>
              <w:spacing w:after="40" w:before="40" w:line="280"/>
            </w:pPr>
            <w:r>
              <w:rPr>
                <w:rFonts w:ascii="Arial" w:cs="Arial" w:eastAsia="Arial" w:hAnsi="Arial"/>
                <w:color w:val="262626"/>
                <w:sz w:val="20"/>
                <w:szCs w:val="20"/>
              </w:rPr>
              <w:t xml:space="preserve">NAVs are marked quarterly via models, not market prices. This mechanically suppresses observed volatility and correlation. A naïve mean-variance optimiser will over-allocate to private credit because the inputs are biased.</w:t>
            </w:r>
          </w:p>
          <w:p>
            <w:pPr>
              <w:spacing w:after="40" w:before="40" w:line="280"/>
            </w:pPr>
            <w:r>
              <w:rPr>
                <w:rFonts w:ascii="Arial" w:cs="Arial" w:eastAsia="Arial" w:hAnsi="Arial"/>
                <w:color w:val="262626"/>
                <w:sz w:val="20"/>
                <w:szCs w:val="20"/>
              </w:rPr>
              <w:t xml:space="preserve">Use Dimson-adjusted betas (regression on contemporaneous + lagged market returns) to recover the true risk profile. This is the single most important point for any MFin presentation.</w:t>
            </w:r>
          </w:p>
        </w:tc>
      </w:tr>
    </w:tbl>
    <w:p>
      <w:pPr>
        <w:spacing w:after="60" w:before="60"/>
      </w:pPr>
      <w:r>
        <w:rPr>
          <w:rFonts w:ascii="Arial" w:cs="Arial" w:eastAsia="Arial" w:hAnsi="Arial"/>
          <w:sz w:val="18"/>
          <w:szCs w:val="18"/>
        </w:rPr>
        <w:t xml:space="preserve"/>
      </w:r>
    </w:p>
    <w:p>
      <w:pPr>
        <w:pStyle w:val="Heading4"/>
        <w:spacing w:after="60" w:before="160"/>
      </w:pPr>
      <w:r>
        <w:rPr>
          <w:rFonts w:ascii="Arial" w:cs="Arial" w:eastAsia="Arial" w:hAnsi="Arial"/>
          <w:b/>
          <w:bCs/>
          <w:i/>
          <w:iCs/>
          <w:color w:val="262626"/>
          <w:sz w:val="20"/>
          <w:szCs w:val="20"/>
        </w:rPr>
        <w:t xml:space="preserve">Similarities with bonds</w:t>
      </w:r>
    </w:p>
    <w:p>
      <w:pPr>
        <w:pStyle w:val="ListParagraph"/>
        <w:numPr>
          <w:ilvl w:val="0"/>
          <w:numId w:val="2"/>
        </w:numPr>
        <w:spacing w:after="40" w:before="40" w:line="280"/>
      </w:pPr>
      <w:r>
        <w:rPr>
          <w:rFonts w:ascii="Arial" w:cs="Arial" w:eastAsia="Arial" w:hAnsi="Arial"/>
          <w:color w:val="262626"/>
          <w:sz w:val="20"/>
          <w:szCs w:val="20"/>
        </w:rPr>
        <w:t xml:space="preserve">Senior secured creditor priority.</w:t>
      </w:r>
    </w:p>
    <w:p>
      <w:pPr>
        <w:pStyle w:val="ListParagraph"/>
        <w:numPr>
          <w:ilvl w:val="0"/>
          <w:numId w:val="2"/>
        </w:numPr>
        <w:spacing w:after="40" w:before="40" w:line="280"/>
      </w:pPr>
      <w:r>
        <w:rPr>
          <w:rFonts w:ascii="Arial" w:cs="Arial" w:eastAsia="Arial" w:hAnsi="Arial"/>
          <w:color w:val="262626"/>
          <w:sz w:val="20"/>
          <w:szCs w:val="20"/>
        </w:rPr>
        <w:t xml:space="preserve">Periodic distributions (preserves F2).</w:t>
      </w:r>
    </w:p>
    <w:p>
      <w:pPr>
        <w:pStyle w:val="ListParagraph"/>
        <w:numPr>
          <w:ilvl w:val="0"/>
          <w:numId w:val="2"/>
        </w:numPr>
        <w:spacing w:after="40" w:before="40" w:line="280"/>
      </w:pPr>
      <w:r>
        <w:rPr>
          <w:rFonts w:ascii="Arial" w:cs="Arial" w:eastAsia="Arial" w:hAnsi="Arial"/>
          <w:color w:val="262626"/>
          <w:sz w:val="20"/>
          <w:szCs w:val="20"/>
        </w:rPr>
        <w:t xml:space="preserve">Floating-rate structure improves on fixed bonds in rising-rate phases.</w:t>
      </w:r>
    </w:p>
    <w:p>
      <w:pPr>
        <w:pStyle w:val="Heading4"/>
        <w:spacing w:after="60" w:before="160"/>
      </w:pPr>
      <w:r>
        <w:rPr>
          <w:rFonts w:ascii="Arial" w:cs="Arial" w:eastAsia="Arial" w:hAnsi="Arial"/>
          <w:b/>
          <w:bCs/>
          <w:i/>
          <w:iCs/>
          <w:color w:val="262626"/>
          <w:sz w:val="20"/>
          <w:szCs w:val="20"/>
        </w:rPr>
        <w:t xml:space="preserve">Where it differs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Illiquidity is severe</w:t>
      </w:r>
      <w:r>
        <w:rPr>
          <w:rFonts w:ascii="Arial" w:cs="Arial" w:eastAsia="Arial" w:hAnsi="Arial"/>
          <w:b w:val="false"/>
          <w:bCs w:val="false"/>
          <w:i w:val="false"/>
          <w:iCs w:val="false"/>
          <w:color w:val="262626"/>
          <w:sz w:val="20"/>
          <w:szCs w:val="20"/>
        </w:rPr>
        <w:t xml:space="preserve"> — not redeemable for 4–7 years; capital calls over the first 2–3 years. Catastrophic failure of F4.</w:t>
      </w:r>
    </w:p>
    <w:p>
      <w:pPr>
        <w:pStyle w:val="ListParagraph"/>
        <w:numPr>
          <w:ilvl w:val="0"/>
          <w:numId w:val="2"/>
        </w:numPr>
        <w:spacing w:after="40" w:before="40" w:line="280"/>
      </w:pPr>
      <w:r>
        <w:rPr>
          <w:rFonts w:ascii="Arial" w:cs="Arial" w:eastAsia="Arial" w:hAnsi="Arial"/>
          <w:color w:val="262626"/>
          <w:sz w:val="20"/>
          <w:szCs w:val="20"/>
        </w:rPr>
        <w:t xml:space="preserve">Sub-investment-grade credit risk — meaningfully worse than AAA–BBB sovereign.</w:t>
      </w:r>
    </w:p>
    <w:p>
      <w:pPr>
        <w:pStyle w:val="ListParagraph"/>
        <w:numPr>
          <w:ilvl w:val="0"/>
          <w:numId w:val="2"/>
        </w:numPr>
        <w:spacing w:after="40" w:before="40" w:line="280"/>
      </w:pPr>
      <w:r>
        <w:rPr>
          <w:rFonts w:ascii="Arial" w:cs="Arial" w:eastAsia="Arial" w:hAnsi="Arial"/>
          <w:color w:val="262626"/>
          <w:sz w:val="20"/>
          <w:szCs w:val="20"/>
        </w:rPr>
        <w:t xml:space="preserve">Reported low σ is partially fictitious.</w:t>
      </w:r>
    </w:p>
    <w:p>
      <w:pPr>
        <w:pStyle w:val="ListParagraph"/>
        <w:numPr>
          <w:ilvl w:val="0"/>
          <w:numId w:val="2"/>
        </w:numPr>
        <w:spacing w:after="40" w:before="40" w:line="280"/>
      </w:pPr>
      <w:r>
        <w:rPr>
          <w:rFonts w:ascii="Arial" w:cs="Arial" w:eastAsia="Arial" w:hAnsi="Arial"/>
          <w:color w:val="262626"/>
          <w:sz w:val="20"/>
          <w:szCs w:val="20"/>
        </w:rPr>
        <w:t xml:space="preserve">Recession scenarios will cause real, lagging losses (default rates 5–10% with 40–60% recoveries in stress).</w:t>
      </w:r>
    </w:p>
    <w:p>
      <w:pPr>
        <w:pStyle w:val="ListParagraph"/>
        <w:numPr>
          <w:ilvl w:val="0"/>
          <w:numId w:val="2"/>
        </w:numPr>
        <w:spacing w:after="40" w:before="40" w:line="280"/>
      </w:pPr>
      <w:r>
        <w:rPr>
          <w:rFonts w:ascii="Arial" w:cs="Arial" w:eastAsia="Arial" w:hAnsi="Arial"/>
          <w:color w:val="262626"/>
          <w:sz w:val="20"/>
          <w:szCs w:val="20"/>
        </w:rPr>
        <w:t xml:space="preserve">Constrained by Swiss BVG/OPP2 alternative-investment caps.</w:t>
      </w:r>
    </w:p>
    <w:p>
      <w:pPr>
        <w:pStyle w:val="Heading4"/>
        <w:spacing w:after="60" w:before="160"/>
      </w:pPr>
      <w:r>
        <w:rPr>
          <w:rFonts w:ascii="Arial" w:cs="Arial" w:eastAsia="Arial" w:hAnsi="Arial"/>
          <w:b/>
          <w:bCs/>
          <w:i/>
          <w:iCs/>
          <w:color w:val="262626"/>
          <w:sz w:val="20"/>
          <w:szCs w:val="20"/>
        </w:rPr>
        <w:t xml:space="preserve">Best use</w:t>
      </w:r>
    </w:p>
    <w:p>
      <w:pPr>
        <w:spacing w:after="80" w:before="80" w:line="280"/>
        <w:jc w:val="left"/>
      </w:pPr>
      <w:r>
        <w:rPr>
          <w:rFonts w:ascii="Arial" w:cs="Arial" w:eastAsia="Arial" w:hAnsi="Arial"/>
          <w:b w:val="false"/>
          <w:bCs w:val="false"/>
          <w:i w:val="false"/>
          <w:iCs w:val="false"/>
          <w:color w:val="262626"/>
          <w:sz w:val="20"/>
          <w:szCs w:val="20"/>
        </w:rPr>
        <w:t xml:space="preserve">Allocate 3–5% as a yield-enhancement satellite, not a structural replacement. Pair with liquid alternatives so the overall allocation maintains rebalancing flexibility.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12"/>
              <w:left w:val="single" w:color="C00000" w:sz="12"/>
              <w:bottom w:val="single" w:color="C00000" w:sz="12"/>
              <w:right w:val="single" w:color="C00000" w:sz="12"/>
            </w:tcBorders>
            <w:shd w:fill="FCE4D6"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Overall fit: ★★★ on return / ★ on liquidity</w:t>
            </w:r>
          </w:p>
          <w:p>
            <w:pPr>
              <w:spacing w:after="40" w:before="40" w:line="280"/>
            </w:pPr>
            <w:r>
              <w:rPr>
                <w:rFonts w:ascii="Arial" w:cs="Arial" w:eastAsia="Arial" w:hAnsi="Arial"/>
                <w:color w:val="262626"/>
                <w:sz w:val="20"/>
                <w:szCs w:val="20"/>
              </w:rPr>
              <w:t xml:space="preserve">Attractive yield but illiquidity and smoothing artefacts prevent it from being a structural bond replacement. Use as a small satellite only.</w:t>
            </w:r>
          </w:p>
        </w:tc>
      </w:tr>
    </w:tbl>
    <w:p>
      <w:r>
        <w:br w:type="page"/>
      </w:r>
    </w:p>
    <w:p>
      <w:pPr>
        <w:pStyle w:val="Heading1"/>
        <w:spacing w:after="200" w:before="360"/>
      </w:pPr>
      <w:r>
        <w:rPr>
          <w:rFonts w:ascii="Arial" w:cs="Arial" w:eastAsia="Arial" w:hAnsi="Arial"/>
          <w:b/>
          <w:bCs/>
          <w:color w:val="1F4E79"/>
          <w:sz w:val="32"/>
          <w:szCs w:val="32"/>
        </w:rPr>
        <w:t xml:space="preserve">V. Master Comparison Table</w:t>
      </w:r>
    </w:p>
    <w:p>
      <w:pPr>
        <w:spacing w:after="80" w:before="80" w:line="280"/>
        <w:jc w:val="left"/>
      </w:pPr>
      <w:r>
        <w:rPr>
          <w:rFonts w:ascii="Arial" w:cs="Arial" w:eastAsia="Arial" w:hAnsi="Arial"/>
          <w:b w:val="false"/>
          <w:bCs w:val="false"/>
          <w:i/>
          <w:iCs/>
          <w:color w:val="262626"/>
          <w:sz w:val="20"/>
          <w:szCs w:val="20"/>
        </w:rPr>
        <w:t xml:space="preserve">Comprehensive comparison of all candidates relative to the existing bond sleeve. Sorted by liquidity (best to worst). After CHF hedging cost where applicable.</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000"/>
        <w:gridCol w:w="1100"/>
        <w:gridCol w:w="800"/>
        <w:gridCol w:w="1100"/>
        <w:gridCol w:w="800"/>
        <w:gridCol w:w="1100"/>
        <w:gridCol w:w="8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Asset Class</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Liquidity</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Exp. Return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σ</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Avg. Equity β</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Income</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Crisis Hedge</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Overall</w:t>
            </w:r>
          </w:p>
        </w:tc>
      </w:tr>
      <w:tr>
        <w:tc>
          <w:tcPr>
            <w:tcW w:type="dxa" w:w="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4"/>
                <w:szCs w:val="14"/>
              </w:rPr>
              <w:t xml:space="preserve">—</w:t>
            </w:r>
          </w:p>
        </w:tc>
        <w:tc>
          <w:tcPr>
            <w:tcW w:type="dxa" w:w="1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Swiss Bonds (current)</w:t>
            </w:r>
          </w:p>
        </w:tc>
        <w:tc>
          <w:tcPr>
            <w:tcW w:type="dxa" w:w="1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−0.3 to +0.5%</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4–7%</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Low</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Low</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Rate-driven</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Baseline</w:t>
            </w:r>
          </w:p>
        </w:tc>
      </w:tr>
      <w:tr>
        <w:tc>
          <w:tcPr>
            <w:tcW w:type="dxa" w:w="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4"/>
                <w:szCs w:val="14"/>
              </w:rPr>
              <w:t xml:space="preserve">—</w:t>
            </w:r>
          </w:p>
        </w:tc>
        <w:tc>
          <w:tcPr>
            <w:tcW w:type="dxa" w:w="1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World Bonds (current)</w:t>
            </w:r>
          </w:p>
        </w:tc>
        <w:tc>
          <w:tcPr>
            <w:tcW w:type="dxa" w:w="1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0.5 to 2.0%</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4–7%</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Low</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Low</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Rate-driven</w:t>
            </w:r>
          </w:p>
        </w:tc>
        <w:tc>
          <w:tcPr>
            <w:tcW w:type="dxa" w:w="8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Baseline</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1</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Gold</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7–10%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14–18%</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None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Inflation crisis</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Convertible Bonds</w:t>
            </w:r>
          </w:p>
        </w:tc>
        <w:tc>
          <w:tcPr>
            <w:tcW w:type="dxa" w:w="1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6–9%</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6–10%</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+0.5 to +0.7</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Low</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Fails</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3</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AAA CLO Tranches</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1.5–3.0%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2–5%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Very low</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Floating</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Partial</w:t>
            </w:r>
          </w:p>
        </w:tc>
        <w:tc>
          <w:tcPr>
            <w:tcW w:type="dxa" w:w="8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Listed Infrastructure</w:t>
            </w:r>
          </w:p>
        </w:tc>
        <w:tc>
          <w:tcPr>
            <w:tcW w:type="dxa" w:w="1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6–9%</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8–12%</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+0.3 to +0.45</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Dividend</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Partial</w:t>
            </w:r>
          </w:p>
        </w:tc>
        <w:tc>
          <w:tcPr>
            <w:tcW w:type="dxa" w:w="8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5</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Managed Futures (CTAs)</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3–7%</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8–14%</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 / negative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None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Best</w:t>
            </w:r>
          </w:p>
        </w:tc>
        <w:tc>
          <w:tcPr>
            <w:tcW w:type="dxa" w:w="8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ILS / Cat Bonds</w:t>
            </w:r>
          </w:p>
        </w:tc>
        <w:tc>
          <w:tcPr>
            <w:tcW w:type="dxa" w:w="1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3.5–6.0%</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3–6%*</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~0</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Premium</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Equity crises</w:t>
            </w:r>
          </w:p>
        </w:tc>
        <w:tc>
          <w:tcPr>
            <w:tcW w:type="dxa" w:w="8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cov.</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4"/>
                <w:szCs w:val="14"/>
              </w:rPr>
              <w:t xml:space="preserve">7</w:t>
            </w:r>
          </w:p>
        </w:tc>
        <w:tc>
          <w:tcPr>
            <w:tcW w:type="dxa" w:w="19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4"/>
                <w:szCs w:val="14"/>
              </w:rPr>
              <w:t xml:space="preserve">Private Credit</w:t>
            </w:r>
          </w:p>
        </w:tc>
        <w:tc>
          <w:tcPr>
            <w:tcW w:type="dxa" w:w="10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w:t>
            </w:r>
          </w:p>
        </w:tc>
        <w:tc>
          <w:tcPr>
            <w:tcW w:type="dxa" w:w="11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4.5–7.0%</w:t>
            </w:r>
          </w:p>
        </w:tc>
        <w:tc>
          <w:tcPr>
            <w:tcW w:type="dxa" w:w="8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2–4%* rep.</w:t>
            </w:r>
          </w:p>
        </w:tc>
        <w:tc>
          <w:tcPr>
            <w:tcW w:type="dxa" w:w="11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Low (smooth)</w:t>
            </w:r>
          </w:p>
        </w:tc>
        <w:tc>
          <w:tcPr>
            <w:tcW w:type="dxa" w:w="8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Floating</w:t>
            </w:r>
          </w:p>
        </w:tc>
        <w:tc>
          <w:tcPr>
            <w:tcW w:type="dxa" w:w="11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Lagged loss</w:t>
            </w:r>
          </w:p>
        </w:tc>
        <w:tc>
          <w:tcPr>
            <w:tcW w:type="dxa" w:w="8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4"/>
                <w:szCs w:val="14"/>
              </w:rPr>
              <w:t xml:space="preserve">★★★/★ liq.</w:t>
            </w:r>
          </w:p>
        </w:tc>
      </w:tr>
    </w:tbl>
    <w:p>
      <w:pPr>
        <w:spacing w:after="60" w:before="60"/>
      </w:pPr>
      <w:r>
        <w:rPr>
          <w:rFonts w:ascii="Arial" w:cs="Arial" w:eastAsia="Arial" w:hAnsi="Arial"/>
          <w:sz w:val="18"/>
          <w:szCs w:val="18"/>
        </w:rPr>
        <w:t xml:space="preserve"/>
      </w:r>
    </w:p>
    <w:p>
      <w:pPr>
        <w:spacing w:after="80" w:before="80" w:line="280"/>
        <w:jc w:val="left"/>
      </w:pPr>
      <w:r>
        <w:rPr>
          <w:rFonts w:ascii="Arial" w:cs="Arial" w:eastAsia="Arial" w:hAnsi="Arial"/>
          <w:b w:val="false"/>
          <w:bCs w:val="false"/>
          <w:i/>
          <w:iCs/>
          <w:color w:val="262626"/>
          <w:sz w:val="16"/>
          <w:szCs w:val="16"/>
        </w:rPr>
        <w:t xml:space="preserve">* Non-normal distribution; standard σ understates risk.</w:t>
      </w:r>
    </w:p>
    <w:p>
      <w:r>
        <w:br w:type="page"/>
      </w:r>
    </w:p>
    <w:p>
      <w:pPr>
        <w:pStyle w:val="Heading1"/>
        <w:spacing w:after="200" w:before="360"/>
      </w:pPr>
      <w:r>
        <w:rPr>
          <w:rFonts w:ascii="Arial" w:cs="Arial" w:eastAsia="Arial" w:hAnsi="Arial"/>
          <w:b/>
          <w:bCs/>
          <w:color w:val="1F4E79"/>
          <w:sz w:val="32"/>
          <w:szCs w:val="32"/>
        </w:rPr>
        <w:t xml:space="preserve">VI. Crisis-Period Stress Test Matrix</w:t>
      </w:r>
    </w:p>
    <w:p>
      <w:pPr>
        <w:spacing w:after="80" w:before="80" w:line="280"/>
        <w:jc w:val="left"/>
      </w:pPr>
      <w:r>
        <w:rPr>
          <w:rFonts w:ascii="Arial" w:cs="Arial" w:eastAsia="Arial" w:hAnsi="Arial"/>
          <w:b w:val="false"/>
          <w:bCs w:val="false"/>
          <w:i w:val="false"/>
          <w:iCs w:val="false"/>
          <w:color w:val="262626"/>
          <w:sz w:val="20"/>
          <w:szCs w:val="20"/>
        </w:rPr>
        <w:t xml:space="preserve">This is the single most important table for evaluating whether replacements preserve F1 (crisis hedge). It shows the historical performance of each candidate during three structurally different crisis types.</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2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Asset / Scenario</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2008 GFC (equity −40%, rate cuts)</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2020 COVID (equity −30%, rate cuts)</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2022 Stagflation (equity −20%, rate hikes)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Swiss Bonds</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+5 to +10% ✓</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 to +6% ✓</w:t>
            </w:r>
          </w:p>
        </w:tc>
        <w:tc>
          <w:tcPr>
            <w:tcW w:type="dxa" w:w="22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−12 to −18%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World Bonds</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+8 to +12% ✓</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+5 to +8% ✓</w:t>
            </w:r>
          </w:p>
        </w:tc>
        <w:tc>
          <w:tcPr>
            <w:tcW w:type="dxa" w:w="22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6"/>
                <w:szCs w:val="16"/>
              </w:rPr>
              <w:t xml:space="preserve">−13 to −16% ✗</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Gold</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+5% ✓</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+25% ✓✓</w:t>
            </w:r>
          </w:p>
        </w:tc>
        <w:tc>
          <w:tcPr>
            <w:tcW w:type="dxa" w:w="22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0 to +5%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Convertibles</w:t>
            </w:r>
          </w:p>
        </w:tc>
        <w:tc>
          <w:tcPr>
            <w:tcW w:type="dxa" w:w="2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−33% ✗</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−10% then recover</w:t>
            </w:r>
          </w:p>
        </w:tc>
        <w:tc>
          <w:tcPr>
            <w:tcW w:type="dxa" w:w="22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−15% ✗</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AAA CLOs</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−5 to −10%</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 to −5% (recovered)</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 to −5%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Listed Infrastructure</w:t>
            </w:r>
          </w:p>
        </w:tc>
        <w:tc>
          <w:tcPr>
            <w:tcW w:type="dxa" w:w="2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−38% ✗</w:t>
            </w:r>
          </w:p>
        </w:tc>
        <w:tc>
          <w:tcPr>
            <w:tcW w:type="dxa" w:w="2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−28% ✗</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Managed Futures</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+15 to +20% ✓✓</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Mixed (−5 to +10%)</w:t>
            </w:r>
          </w:p>
        </w:tc>
        <w:tc>
          <w:tcPr>
            <w:tcW w:type="dxa" w:w="22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+25 to +30%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ILS</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+2% ✓</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+3% ✓</w:t>
            </w:r>
          </w:p>
        </w:tc>
        <w:tc>
          <w:tcPr>
            <w:tcW w:type="dxa" w:w="22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+5% ✓</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6"/>
                <w:szCs w:val="16"/>
              </w:rPr>
              <w:t xml:space="preserve">Private Credit</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True losses 2009–10 (smoothed)</w:t>
            </w:r>
          </w:p>
        </w:tc>
        <w:tc>
          <w:tcPr>
            <w:tcW w:type="dxa" w:w="230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Lagged drawdown</w:t>
            </w:r>
          </w:p>
        </w:tc>
        <w:tc>
          <w:tcPr>
            <w:tcW w:type="dxa" w:w="22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6"/>
                <w:szCs w:val="16"/>
              </w:rPr>
              <w:t xml:space="preserve">Stable (floating helps)</w:t>
            </w:r>
          </w:p>
        </w:tc>
      </w:tr>
    </w:tbl>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2"/>
              <w:left w:val="single" w:color="1F4E79" w:sz="12"/>
              <w:bottom w:val="single" w:color="1F4E79" w:sz="12"/>
              <w:right w:val="single" w:color="1F4E79"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KEY INSIGHT</w:t>
            </w:r>
          </w:p>
          <w:p>
            <w:pPr>
              <w:spacing w:after="40" w:before="40" w:line="280"/>
            </w:pPr>
            <w:r>
              <w:rPr>
                <w:rFonts w:ascii="Arial" w:cs="Arial" w:eastAsia="Arial" w:hAnsi="Arial"/>
                <w:b w:val="false"/>
                <w:bCs w:val="false"/>
                <w:i w:val="false"/>
                <w:iCs w:val="false"/>
                <w:color w:val="262626"/>
                <w:sz w:val="20"/>
                <w:szCs w:val="20"/>
              </w:rPr>
              <w:t xml:space="preserve">Only </w:t>
            </w:r>
            <w:r>
              <w:rPr>
                <w:rFonts w:ascii="Arial" w:cs="Arial" w:eastAsia="Arial" w:hAnsi="Arial"/>
                <w:b/>
                <w:bCs/>
                <w:i w:val="false"/>
                <w:iCs w:val="false"/>
                <w:color w:val="262626"/>
                <w:sz w:val="20"/>
                <w:szCs w:val="20"/>
              </w:rPr>
              <w:t xml:space="preserve">Gold, Managed Futures, and ILS</w:t>
            </w:r>
            <w:r>
              <w:rPr>
                <w:rFonts w:ascii="Arial" w:cs="Arial" w:eastAsia="Arial" w:hAnsi="Arial"/>
                <w:b w:val="false"/>
                <w:bCs w:val="false"/>
                <w:i w:val="false"/>
                <w:iCs w:val="false"/>
                <w:color w:val="262626"/>
                <w:sz w:val="20"/>
                <w:szCs w:val="20"/>
              </w:rPr>
              <w:t xml:space="preserve"> preserve F1 across all three historical stress scenarios. Bonds themselves failed F1 in 2022. This is the strongest argument for partial replacement: a properly diversified bond replacement sleeve is more crisis-robust than the bonds it replaces.</w:t>
            </w:r>
          </w:p>
        </w:tc>
      </w:tr>
    </w:tbl>
    <w:p>
      <w:r>
        <w:br w:type="page"/>
      </w:r>
    </w:p>
    <w:p>
      <w:pPr>
        <w:pStyle w:val="Heading1"/>
        <w:spacing w:after="200" w:before="360"/>
      </w:pPr>
      <w:r>
        <w:rPr>
          <w:rFonts w:ascii="Arial" w:cs="Arial" w:eastAsia="Arial" w:hAnsi="Arial"/>
          <w:b/>
          <w:bCs/>
          <w:color w:val="1F4E79"/>
          <w:sz w:val="32"/>
          <w:szCs w:val="32"/>
        </w:rPr>
        <w:t xml:space="preserve">VII. Proposed Reallocation — Target Portfolio</w:t>
      </w:r>
    </w:p>
    <w:p>
      <w:pPr>
        <w:spacing w:after="80" w:before="80" w:line="280"/>
        <w:jc w:val="left"/>
      </w:pPr>
      <w:r>
        <w:rPr>
          <w:rFonts w:ascii="Arial" w:cs="Arial" w:eastAsia="Arial" w:hAnsi="Arial"/>
          <w:b w:val="false"/>
          <w:bCs w:val="false"/>
          <w:i w:val="false"/>
          <w:iCs w:val="false"/>
          <w:color w:val="262626"/>
          <w:sz w:val="20"/>
          <w:szCs w:val="20"/>
        </w:rPr>
        <w:t xml:space="preserve">The proposed allocation replaces approximately 20 percentage points of the original 42% bond sleeve. The remaining 22% bond allocation is intentional — sovereign bonds remain the only reliable hedge in a 2008-style flight-to-quality. Cutting bonds to zero would worsen, not improve, true crisis performance.</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300"/>
        <w:gridCol w:w="21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Asset Class</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Current</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Proposed</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Δ</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FFFFFF"/>
                <w:sz w:val="17"/>
                <w:szCs w:val="17"/>
              </w:rPr>
              <w:t xml:space="preserve">Liquidity Tier</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Swiss Equities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World Equities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25%</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Swiss Bonds</w:t>
            </w:r>
          </w:p>
        </w:tc>
        <w:tc>
          <w:tcPr>
            <w:tcW w:type="dxa" w:w="14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18%</w:t>
            </w:r>
          </w:p>
        </w:tc>
        <w:tc>
          <w:tcPr>
            <w:tcW w:type="dxa" w:w="14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8%</w:t>
            </w:r>
          </w:p>
        </w:tc>
        <w:tc>
          <w:tcPr>
            <w:tcW w:type="dxa" w:w="1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−10%</w:t>
            </w:r>
          </w:p>
        </w:tc>
        <w:tc>
          <w:tcPr>
            <w:tcW w:type="dxa" w:w="21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World Bonds</w:t>
            </w:r>
          </w:p>
        </w:tc>
        <w:tc>
          <w:tcPr>
            <w:tcW w:type="dxa" w:w="14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24%</w:t>
            </w:r>
          </w:p>
        </w:tc>
        <w:tc>
          <w:tcPr>
            <w:tcW w:type="dxa" w:w="14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14%</w:t>
            </w:r>
          </w:p>
        </w:tc>
        <w:tc>
          <w:tcPr>
            <w:tcW w:type="dxa" w:w="13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−10%</w:t>
            </w:r>
          </w:p>
        </w:tc>
        <w:tc>
          <w:tcPr>
            <w:tcW w:type="dxa" w:w="2100"/>
            <w:tcBorders>
              <w:top w:val="single" w:color="BFBFBF" w:sz="4"/>
              <w:left w:val="single" w:color="BFBFBF" w:sz="4"/>
              <w:bottom w:val="single" w:color="BFBFBF" w:sz="4"/>
              <w:right w:val="single" w:color="BFBFBF" w:sz="4"/>
            </w:tcBorders>
            <w:shd w:fill="FCE4D6"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Swiss Real Estate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5%</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left"/>
            </w:pPr>
            <w:r>
              <w:rPr>
                <w:rFonts w:ascii="Arial" w:cs="Arial" w:eastAsia="Arial" w:hAnsi="Arial"/>
                <w:b w:val="false"/>
                <w:bCs w:val="false"/>
                <w:i w:val="false"/>
                <w:iCs w:val="false"/>
                <w:color w:val="262626"/>
                <w:sz w:val="17"/>
                <w:szCs w:val="17"/>
              </w:rPr>
              <w:t xml:space="preserve">Liquidity</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3%</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3%</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Gold</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AAA CLO Tranches</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5%</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+5%</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Listed Infrastructure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5%</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+5%</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Managed Futures (CTAs)</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Daily/Weekly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ILS / Cat Bonds</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+3%</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Monthly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Convertible Bonds</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Daily</w:t>
            </w:r>
          </w:p>
        </w:tc>
      </w:tr>
      <w:tr>
        <w:tc>
          <w:tcPr>
            <w:tcW w:type="dxa" w:w="30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Private Credit</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w:t>
            </w:r>
          </w:p>
        </w:tc>
        <w:tc>
          <w:tcPr>
            <w:tcW w:type="dxa" w:w="14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w:t>
            </w:r>
          </w:p>
        </w:tc>
        <w:tc>
          <w:tcPr>
            <w:tcW w:type="dxa" w:w="13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+2%</w:t>
            </w:r>
          </w:p>
        </w:tc>
        <w:tc>
          <w:tcPr>
            <w:tcW w:type="dxa" w:w="2100"/>
            <w:tcBorders>
              <w:top w:val="single" w:color="BFBFBF" w:sz="4"/>
              <w:left w:val="single" w:color="BFBFBF" w:sz="4"/>
              <w:bottom w:val="single" w:color="BFBFBF" w:sz="4"/>
              <w:right w:val="single" w:color="BFBFBF" w:sz="4"/>
            </w:tcBorders>
            <w:shd w:fill="E2EFDA"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4–7yr lock</w:t>
            </w:r>
          </w:p>
        </w:tc>
      </w:tr>
      <w:tr>
        <w:tc>
          <w:tcPr>
            <w:tcW w:type="dxa" w:w="3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left"/>
            </w:pPr>
            <w:r>
              <w:rPr>
                <w:rFonts w:ascii="Arial" w:cs="Arial" w:eastAsia="Arial" w:hAnsi="Arial"/>
                <w:b/>
                <w:bCs/>
                <w:i w:val="false"/>
                <w:iCs w:val="false"/>
                <w:color w:val="262626"/>
                <w:sz w:val="17"/>
                <w:szCs w:val="17"/>
              </w:rPr>
              <w:t xml:space="preserve">TOTAL</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100%</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bCs/>
                <w:i w:val="false"/>
                <w:iCs w:val="false"/>
                <w:color w:val="262626"/>
                <w:sz w:val="17"/>
                <w:szCs w:val="17"/>
              </w:rPr>
              <w:t xml:space="preserve">100%</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
            </w:r>
          </w:p>
        </w:tc>
        <w:tc>
          <w:tcPr>
            <w:tcW w:type="dxa" w:w="2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pPr>
              <w:spacing w:after="0" w:before="0" w:line="240"/>
              <w:jc w:val="center"/>
            </w:pPr>
            <w:r>
              <w:rPr>
                <w:rFonts w:ascii="Arial" w:cs="Arial" w:eastAsia="Arial" w:hAnsi="Arial"/>
                <w:b w:val="false"/>
                <w:bCs w:val="false"/>
                <w:i w:val="false"/>
                <w:iCs w:val="false"/>
                <w:color w:val="262626"/>
                <w:sz w:val="17"/>
                <w:szCs w:val="17"/>
              </w:rPr>
              <w:t xml:space="preserve"/>
            </w:r>
          </w:p>
        </w:tc>
      </w:tr>
    </w:tbl>
    <w:p>
      <w:pPr>
        <w:spacing w:after="60" w:before="60"/>
      </w:pPr>
      <w:r>
        <w:rPr>
          <w:rFonts w:ascii="Arial" w:cs="Arial" w:eastAsia="Arial" w:hAnsi="Arial"/>
          <w:sz w:val="18"/>
          <w:szCs w:val="18"/>
        </w:rPr>
        <w:t xml:space="preserve"/>
      </w:r>
    </w:p>
    <w:p>
      <w:pPr>
        <w:pStyle w:val="Heading3"/>
        <w:spacing w:after="100" w:before="220"/>
      </w:pPr>
      <w:r>
        <w:rPr>
          <w:rFonts w:ascii="Arial" w:cs="Arial" w:eastAsia="Arial" w:hAnsi="Arial"/>
          <w:b/>
          <w:bCs/>
          <w:color w:val="2E75B6"/>
          <w:sz w:val="22"/>
          <w:szCs w:val="22"/>
        </w:rPr>
        <w:t xml:space="preserve">Rationale</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20 percentage points of the original 42% bond sleeve are replaced</w:t>
      </w:r>
      <w:r>
        <w:rPr>
          <w:rFonts w:ascii="Arial" w:cs="Arial" w:eastAsia="Arial" w:hAnsi="Arial"/>
          <w:b w:val="false"/>
          <w:bCs w:val="false"/>
          <w:i w:val="false"/>
          <w:iCs w:val="false"/>
          <w:color w:val="262626"/>
          <w:sz w:val="20"/>
          <w:szCs w:val="20"/>
        </w:rPr>
        <w:t xml:space="preserve"> — the part most exposed to NIRP.</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22% bonds retained</w:t>
      </w:r>
      <w:r>
        <w:rPr>
          <w:rFonts w:ascii="Arial" w:cs="Arial" w:eastAsia="Arial" w:hAnsi="Arial"/>
          <w:b w:val="false"/>
          <w:bCs w:val="false"/>
          <w:i w:val="false"/>
          <w:iCs w:val="false"/>
          <w:color w:val="262626"/>
          <w:sz w:val="20"/>
          <w:szCs w:val="20"/>
        </w:rPr>
        <w:t xml:space="preserve"> — sovereign bonds remain the only reliable hedge in a 2008-style flight-to-quality. No replacement fully replicates this. Cutting bonds to zero would worsen crisis performance.</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Liquidity profile preserved</w:t>
      </w:r>
      <w:r>
        <w:rPr>
          <w:rFonts w:ascii="Arial" w:cs="Arial" w:eastAsia="Arial" w:hAnsi="Arial"/>
          <w:b w:val="false"/>
          <w:bCs w:val="false"/>
          <w:i w:val="false"/>
          <w:iCs w:val="false"/>
          <w:color w:val="262626"/>
          <w:sz w:val="20"/>
          <w:szCs w:val="20"/>
        </w:rPr>
        <w:t xml:space="preserve"> — only 5% (ILS + Private Credit) is less than daily-liquid, well within Swiss institutional norms (BVG/OPP2 limits).</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Income retained</w:t>
      </w:r>
      <w:r>
        <w:rPr>
          <w:rFonts w:ascii="Arial" w:cs="Arial" w:eastAsia="Arial" w:hAnsi="Arial"/>
          <w:b w:val="false"/>
          <w:bCs w:val="false"/>
          <w:i w:val="false"/>
          <w:iCs w:val="false"/>
          <w:color w:val="262626"/>
          <w:sz w:val="20"/>
          <w:szCs w:val="20"/>
        </w:rPr>
        <w:t xml:space="preserve"> — CLOs, infrastructure, ILS, private credit, and convertibles all generate yield, replacing the lost coupon income.</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Crisis hedging strengthened</w:t>
      </w:r>
      <w:r>
        <w:rPr>
          <w:rFonts w:ascii="Arial" w:cs="Arial" w:eastAsia="Arial" w:hAnsi="Arial"/>
          <w:b w:val="false"/>
          <w:bCs w:val="false"/>
          <w:i w:val="false"/>
          <w:iCs w:val="false"/>
          <w:color w:val="262626"/>
          <w:sz w:val="20"/>
          <w:szCs w:val="20"/>
        </w:rPr>
        <w:t xml:space="preserve"> — Gold + CTAs + ILS together provide hedging against rate-driven, equity-driven, AND inflation-driven crises (the trifecta bonds alone cannot deliver, as 2022 demonstrated).</w:t>
      </w:r>
    </w:p>
    <w:p>
      <w:r>
        <w:br w:type="page"/>
      </w:r>
    </w:p>
    <w:p>
      <w:pPr>
        <w:pStyle w:val="Heading1"/>
        <w:spacing w:after="200" w:before="360"/>
      </w:pPr>
      <w:r>
        <w:rPr>
          <w:rFonts w:ascii="Arial" w:cs="Arial" w:eastAsia="Arial" w:hAnsi="Arial"/>
          <w:b/>
          <w:bCs/>
          <w:color w:val="1F4E79"/>
          <w:sz w:val="32"/>
          <w:szCs w:val="32"/>
        </w:rPr>
        <w:t xml:space="preserve">VIII. Three Academic Caveats for the MFin Framing</w:t>
      </w:r>
    </w:p>
    <w:p>
      <w:pPr>
        <w:spacing w:after="80" w:before="80" w:line="280"/>
        <w:jc w:val="left"/>
      </w:pPr>
      <w:r>
        <w:rPr>
          <w:rFonts w:ascii="Arial" w:cs="Arial" w:eastAsia="Arial" w:hAnsi="Arial"/>
          <w:b w:val="false"/>
          <w:bCs w:val="false"/>
          <w:i w:val="false"/>
          <w:iCs w:val="false"/>
          <w:color w:val="262626"/>
          <w:sz w:val="20"/>
          <w:szCs w:val="20"/>
        </w:rPr>
        <w:t xml:space="preserve">Three methodological flags that any rigorous Master of Finance presentation must include when applying these results in a portfolio optimisation framework.</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2"/>
              <w:left w:val="single" w:color="2E75B6" w:sz="12"/>
              <w:bottom w:val="single" w:color="2E75B6" w:sz="12"/>
              <w:right w:val="single" w:color="2E75B6"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1. The variance-covariance matrix is regime-dependent</w:t>
            </w:r>
          </w:p>
          <w:p>
            <w:pPr>
              <w:spacing w:after="40" w:before="40" w:line="280"/>
            </w:pPr>
            <w:r>
              <w:rPr>
                <w:rFonts w:ascii="Arial" w:cs="Arial" w:eastAsia="Arial" w:hAnsi="Arial"/>
                <w:color w:val="262626"/>
                <w:sz w:val="20"/>
                <w:szCs w:val="20"/>
              </w:rPr>
              <w:t xml:space="preserve">Long-run average correlations mask correlation spikes in crises. Listed infrastructure, convertibles, and private credit all see correlations rise in equity sell-offs.</w:t>
            </w:r>
          </w:p>
          <w:p>
            <w:pPr>
              <w:spacing w:after="40" w:before="40" w:line="280"/>
            </w:pPr>
            <w:r>
              <w:rPr>
                <w:rFonts w:ascii="Arial" w:cs="Arial" w:eastAsia="Arial" w:hAnsi="Arial"/>
                <w:color w:val="262626"/>
                <w:sz w:val="20"/>
                <w:szCs w:val="20"/>
              </w:rPr>
              <w:t xml:space="preserve">ILS, gold, and CTAs are the only candidates with stable or negative correlation behaviour in crisis. Any optimisation must use conditional covariance matrices (DCC-GARCH or similar), not unconditional historical estimates.</w:t>
            </w:r>
          </w:p>
        </w:tc>
      </w:tr>
    </w:tbl>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2"/>
              <w:left w:val="single" w:color="2E75B6" w:sz="12"/>
              <w:bottom w:val="single" w:color="2E75B6" w:sz="12"/>
              <w:right w:val="single" w:color="2E75B6"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2. Mean-variance fails for non-Gaussian assets</w:t>
            </w:r>
          </w:p>
          <w:p>
            <w:pPr>
              <w:spacing w:after="40" w:before="40" w:line="280"/>
            </w:pPr>
            <w:r>
              <w:rPr>
                <w:rFonts w:ascii="Arial" w:cs="Arial" w:eastAsia="Arial" w:hAnsi="Arial"/>
                <w:color w:val="262626"/>
                <w:sz w:val="20"/>
                <w:szCs w:val="20"/>
              </w:rPr>
              <w:t xml:space="preserve">ILS exhibits left-tail event risk; private credit exhibits smoothing-induced understatement of σ; CTAs exhibit fat right tails (positive skew) and occasional large left moves.</w:t>
            </w:r>
          </w:p>
          <w:p>
            <w:pPr>
              <w:spacing w:after="40" w:before="40" w:line="280"/>
            </w:pPr>
            <w:r>
              <w:rPr>
                <w:rFonts w:ascii="Arial" w:cs="Arial" w:eastAsia="Arial" w:hAnsi="Arial"/>
                <w:color w:val="262626"/>
                <w:sz w:val="20"/>
                <w:szCs w:val="20"/>
              </w:rPr>
              <w:t xml:space="preserve">Markowitz's framework is necessary but insufficient. Supplement with: CVaR at 95–99%, Dimson lagged-beta corrections, and scenario analysis.</w:t>
            </w:r>
          </w:p>
        </w:tc>
      </w:tr>
    </w:tbl>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2"/>
              <w:left w:val="single" w:color="2E75B6" w:sz="12"/>
              <w:bottom w:val="single" w:color="2E75B6" w:sz="12"/>
              <w:right w:val="single" w:color="2E75B6"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3. CHF hedging cost erodes nominal return</w:t>
            </w:r>
          </w:p>
          <w:p>
            <w:pPr>
              <w:spacing w:after="40" w:before="40" w:line="280"/>
            </w:pPr>
            <w:r>
              <w:rPr>
                <w:rFonts w:ascii="Arial" w:cs="Arial" w:eastAsia="Arial" w:hAnsi="Arial"/>
                <w:color w:val="262626"/>
                <w:sz w:val="20"/>
                <w:szCs w:val="20"/>
              </w:rPr>
              <w:t xml:space="preserve">Most non-CHF-native alternatives (CLOs, ILS, gold, infrastructure) require CHF hedging. At the current near-zero SNB policy rate versus higher USD rates, hedging costs of 0.5–1.5% materially compress the gross-to-net advantage.</w:t>
            </w:r>
          </w:p>
          <w:p>
            <w:pPr>
              <w:spacing w:after="40" w:before="40" w:line="280"/>
            </w:pPr>
            <w:r>
              <w:rPr>
                <w:rFonts w:ascii="Arial" w:cs="Arial" w:eastAsia="Arial" w:hAnsi="Arial"/>
                <w:color w:val="262626"/>
                <w:sz w:val="20"/>
                <w:szCs w:val="20"/>
              </w:rPr>
              <w:t xml:space="preserve">This argues for: (i) CHF-native alternatives where available (Swiss-domiciled ILS managers, Swiss real assets), (ii) currency-hedged share classes, (iii) explicit modelling of hedging cost in expected return projections.</w:t>
            </w:r>
          </w:p>
        </w:tc>
      </w:tr>
    </w:tbl>
    <w:p>
      <w:r>
        <w:br w:type="page"/>
      </w:r>
    </w:p>
    <w:p>
      <w:pPr>
        <w:pStyle w:val="Heading1"/>
        <w:spacing w:after="200" w:before="360"/>
      </w:pPr>
      <w:r>
        <w:rPr>
          <w:rFonts w:ascii="Arial" w:cs="Arial" w:eastAsia="Arial" w:hAnsi="Arial"/>
          <w:b/>
          <w:bCs/>
          <w:color w:val="1F4E79"/>
          <w:sz w:val="32"/>
          <w:szCs w:val="32"/>
        </w:rPr>
        <w:t xml:space="preserve">Conclusion</w:t>
      </w:r>
    </w:p>
    <w:p>
      <w:pPr>
        <w:spacing w:after="80" w:before="80" w:line="280"/>
        <w:jc w:val="left"/>
      </w:pPr>
      <w:r>
        <w:rPr>
          <w:rFonts w:ascii="Arial" w:cs="Arial" w:eastAsia="Arial" w:hAnsi="Arial"/>
          <w:b w:val="false"/>
          <w:bCs w:val="false"/>
          <w:i w:val="false"/>
          <w:iCs w:val="false"/>
          <w:color w:val="262626"/>
          <w:sz w:val="20"/>
          <w:szCs w:val="20"/>
        </w:rPr>
        <w:t xml:space="preserve">Your current 18%/24% bond split, with the 18% Swiss bond sleeve sitting on a 10-year yield of approximately 0.45% in a 0% policy-rate environment, is structurally identical to the NIRP problem of 2015–2021.</w:t>
      </w:r>
    </w:p>
    <w:p>
      <w:pPr>
        <w:spacing w:after="60" w:before="60"/>
      </w:pPr>
      <w:r>
        <w:rPr>
          <w:rFonts w:ascii="Arial" w:cs="Arial" w:eastAsia="Arial" w:hAnsi="Arial"/>
          <w:sz w:val="18"/>
          <w:szCs w:val="18"/>
        </w:rPr>
        <w:t xml:space="preserve"/>
      </w:r>
    </w:p>
    <w:p>
      <w:pPr>
        <w:spacing w:after="80" w:before="80" w:line="280"/>
        <w:jc w:val="left"/>
      </w:pPr>
      <w:r>
        <w:rPr>
          <w:rFonts w:ascii="Arial" w:cs="Arial" w:eastAsia="Arial" w:hAnsi="Arial"/>
          <w:b w:val="false"/>
          <w:bCs w:val="false"/>
          <w:i w:val="false"/>
          <w:iCs w:val="false"/>
          <w:color w:val="262626"/>
          <w:sz w:val="20"/>
          <w:szCs w:val="20"/>
        </w:rPr>
        <w:t xml:space="preserve">The best academic and practical response is not to abandon bonds, but to replace approximately half of the sleeve with a diversified set of seven liquid-to-semi-liquid alternatives that collectively:</w:t>
      </w:r>
    </w:p>
    <w:p>
      <w:pPr>
        <w:spacing w:after="60" w:before="60"/>
      </w:pPr>
      <w:r>
        <w:rPr>
          <w:rFonts w:ascii="Arial" w:cs="Arial" w:eastAsia="Arial" w:hAnsi="Arial"/>
          <w:sz w:val="18"/>
          <w:szCs w:val="18"/>
        </w:rPr>
        <w:t xml:space="preserve"/>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Deliver higher expected return</w:t>
      </w:r>
      <w:r>
        <w:rPr>
          <w:rFonts w:ascii="Arial" w:cs="Arial" w:eastAsia="Arial" w:hAnsi="Arial"/>
          <w:b w:val="false"/>
          <w:bCs w:val="false"/>
          <w:i w:val="false"/>
          <w:iCs w:val="false"/>
          <w:color w:val="262626"/>
          <w:sz w:val="20"/>
          <w:szCs w:val="20"/>
        </w:rPr>
        <w:t xml:space="preserve"> across the typical low-rate environment;</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Preserve daily liquidity</w:t>
      </w:r>
      <w:r>
        <w:rPr>
          <w:rFonts w:ascii="Arial" w:cs="Arial" w:eastAsia="Arial" w:hAnsi="Arial"/>
          <w:b w:val="false"/>
          <w:bCs w:val="false"/>
          <w:i w:val="false"/>
          <w:iCs w:val="false"/>
          <w:color w:val="262626"/>
          <w:sz w:val="20"/>
          <w:szCs w:val="20"/>
        </w:rPr>
        <w:t xml:space="preserve"> for the bulk of the allocation;</w:t>
      </w:r>
    </w:p>
    <w:p>
      <w:pPr>
        <w:pStyle w:val="ListParagraph"/>
        <w:numPr>
          <w:ilvl w:val="0"/>
          <w:numId w:val="2"/>
        </w:numPr>
        <w:spacing w:after="40" w:before="40" w:line="280"/>
      </w:pPr>
      <w:r>
        <w:rPr>
          <w:rFonts w:ascii="Arial" w:cs="Arial" w:eastAsia="Arial" w:hAnsi="Arial"/>
          <w:b/>
          <w:bCs/>
          <w:i w:val="false"/>
          <w:iCs w:val="false"/>
          <w:color w:val="262626"/>
          <w:sz w:val="20"/>
          <w:szCs w:val="20"/>
        </w:rPr>
        <w:t xml:space="preserve">Improve crisis hedging</w:t>
      </w:r>
      <w:r>
        <w:rPr>
          <w:rFonts w:ascii="Arial" w:cs="Arial" w:eastAsia="Arial" w:hAnsi="Arial"/>
          <w:b w:val="false"/>
          <w:bCs w:val="false"/>
          <w:i w:val="false"/>
          <w:iCs w:val="false"/>
          <w:color w:val="262626"/>
          <w:sz w:val="20"/>
          <w:szCs w:val="20"/>
        </w:rPr>
        <w:t xml:space="preserve"> by adding regime-robust alternatives (gold, CTAs, ILS) that bonds alone failed to provide in 2022.</w:t>
      </w:r>
    </w:p>
    <w:p>
      <w:pPr>
        <w:spacing w:after="60" w:before="60"/>
      </w:pPr>
      <w:r>
        <w:rPr>
          <w:rFonts w:ascii="Arial" w:cs="Arial" w:eastAsia="Arial" w:hAnsi="Arial"/>
          <w:sz w:val="18"/>
          <w:szCs w:val="18"/>
        </w:rPr>
        <w:t xml:space="preserve"/>
      </w:r>
    </w:p>
    <w:p>
      <w:pPr>
        <w:spacing w:after="80" w:before="80" w:line="280"/>
        <w:jc w:val="left"/>
      </w:pPr>
      <w:r>
        <w:rPr>
          <w:rFonts w:ascii="Arial" w:cs="Arial" w:eastAsia="Arial" w:hAnsi="Arial"/>
          <w:b w:val="false"/>
          <w:bCs w:val="false"/>
          <w:i w:val="false"/>
          <w:iCs w:val="false"/>
          <w:color w:val="262626"/>
          <w:sz w:val="20"/>
          <w:szCs w:val="20"/>
        </w:rPr>
        <w:t xml:space="preserve">The retained 22% bond core ensures continued protection against deflationary financial-crisis scenarios, where AAA sovereign bonds remain irreplaceable. The added 20% diversifying sleeve protects against the inflationary, regime-shift, and tail-risk scenarios where bonds have repeatedly failed.</w:t>
      </w:r>
    </w:p>
    <w:p>
      <w:pPr>
        <w:spacing w:after="60" w:before="60"/>
      </w:pPr>
      <w:r>
        <w:rPr>
          <w:rFonts w:ascii="Arial" w:cs="Arial" w:eastAsia="Arial" w:hAnsi="Arial"/>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2"/>
              <w:left w:val="single" w:color="1F4E79" w:sz="12"/>
              <w:bottom w:val="single" w:color="1F4E79" w:sz="12"/>
              <w:right w:val="single" w:color="1F4E79" w:sz="12"/>
            </w:tcBorders>
            <w:shd w:fill="D9E2F3" w:color="auto" w:val="clear"/>
            <w:tcMar>
              <w:top w:type="dxa" w:w="200"/>
              <w:left w:type="dxa" w:w="200"/>
              <w:bottom w:type="dxa" w:w="200"/>
              <w:right w:type="dxa" w:w="200"/>
            </w:tcMar>
          </w:tcPr>
          <w:p>
            <w:pPr>
              <w:spacing w:after="120" w:before="0"/>
            </w:pPr>
            <w:r>
              <w:rPr>
                <w:rFonts w:ascii="Arial" w:cs="Arial" w:eastAsia="Arial" w:hAnsi="Arial"/>
                <w:b/>
                <w:bCs/>
                <w:color w:val="1F4E79"/>
                <w:sz w:val="22"/>
                <w:szCs w:val="22"/>
              </w:rPr>
              <w:t xml:space="preserve">BOTTOM LINE</w:t>
            </w:r>
          </w:p>
          <w:p>
            <w:pPr>
              <w:spacing w:after="40" w:before="40" w:line="280"/>
            </w:pPr>
            <w:r>
              <w:rPr>
                <w:rFonts w:ascii="Arial" w:cs="Arial" w:eastAsia="Arial" w:hAnsi="Arial"/>
                <w:b w:val="false"/>
                <w:bCs w:val="false"/>
                <w:i w:val="false"/>
                <w:iCs w:val="false"/>
                <w:color w:val="262626"/>
                <w:sz w:val="20"/>
                <w:szCs w:val="20"/>
              </w:rPr>
              <w:t xml:space="preserve">The portfolio's vulnerability is not the existence of a bond allocation — it is the </w:t>
            </w:r>
            <w:r>
              <w:rPr>
                <w:rFonts w:ascii="Arial" w:cs="Arial" w:eastAsia="Arial" w:hAnsi="Arial"/>
                <w:b/>
                <w:bCs/>
                <w:i w:val="false"/>
                <w:iCs w:val="false"/>
                <w:color w:val="262626"/>
                <w:sz w:val="20"/>
                <w:szCs w:val="20"/>
              </w:rPr>
              <w:t xml:space="preserve">concentration</w:t>
            </w:r>
            <w:r>
              <w:rPr>
                <w:rFonts w:ascii="Arial" w:cs="Arial" w:eastAsia="Arial" w:hAnsi="Arial"/>
                <w:b w:val="false"/>
                <w:bCs w:val="false"/>
                <w:i w:val="false"/>
                <w:iCs w:val="false"/>
                <w:color w:val="262626"/>
                <w:sz w:val="20"/>
                <w:szCs w:val="20"/>
              </w:rPr>
              <w:t xml:space="preserve"> of the bond allocation in instruments that share a single failure mode (rate-driven loss). Diversifying within the defensive sleeve, rather than abandoning it, is the cleanest path to a more robust CHF portfolio.</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62626"/>
        <w:sz w:val="16"/>
        <w:szCs w:val="16"/>
      </w:rPr>
      <w:t xml:space="preserve">Bond Replacement Asset Classes — MFin Analysis  |  </w:t>
    </w:r>
    <w:r>
      <w:rPr>
        <w:rFonts w:ascii="Arial" w:cs="Arial" w:eastAsia="Arial" w:hAnsi="Arial"/>
        <w:color w:val="26262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26262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Bond Replacement Asset Classes</dc:title>
  <dc:creator>Master of Finance Analysis</dc:creator>
  <dc:description>Diversification Strategies for a CHF-Denominated Portfolio in Low-Rate Environments</dc:description>
  <cp:lastModifiedBy>Un-named</cp:lastModifiedBy>
  <cp:revision>1</cp:revision>
  <dcterms:created xsi:type="dcterms:W3CDTF">2026-05-03T10:26:03.476Z</dcterms:created>
  <dcterms:modified xsi:type="dcterms:W3CDTF">2026-05-03T10:26:03.477Z</dcterms:modified>
</cp:coreProperties>
</file>

<file path=docProps/custom.xml><?xml version="1.0" encoding="utf-8"?>
<Properties xmlns="http://schemas.openxmlformats.org/officeDocument/2006/custom-properties" xmlns:vt="http://schemas.openxmlformats.org/officeDocument/2006/docPropsVTypes"/>
</file>