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b1f37158e267ed6e827c04c0c125bb419623807"/>
    <w:p>
      <w:pPr>
        <w:pStyle w:val="Heading1"/>
      </w:pPr>
      <w:r>
        <w:t xml:space="preserve">Bond replacement in a Swiss strategic portfolio — evidence across interest-rate regimes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VZ AP5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9251893c2ac26e92393c0c80c14a9e56b89e9f6"/>
    <w:p>
      <w:pPr>
        <w:pStyle w:val="Heading2"/>
      </w:pPr>
      <w:r>
        <w:t xml:space="preserve">1. Goal and research questions</w:t>
      </w:r>
    </w:p>
    <w:p>
      <w:pPr>
        <w:pStyle w:val="FirstParagraph"/>
      </w:pPr>
      <w:r>
        <w:rPr>
          <w:bCs/>
          <w:b/>
        </w:rPr>
        <w:t xml:space="preserve">Goal (one sentence).</w:t>
      </w:r>
      <w:r>
        <w:t xml:space="preserve"> </w:t>
      </w:r>
      <w:r>
        <w:t xml:space="preserve">Decide whether 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of the Swiss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mandate</w:t>
      </w:r>
      <w:r>
        <w:t xml:space="preserve"> </w:t>
      </w:r>
      <w:r>
        <w:t xml:space="preserve">can be replaced by investable alternatives, and</w:t>
      </w:r>
      <w:r>
        <w:t xml:space="preserve"> </w:t>
      </w:r>
      <w:r>
        <w:rPr>
          <w:bCs/>
          <w:b/>
        </w:rPr>
        <w:t xml:space="preserve">at what cost in risk</w:t>
      </w:r>
      <w:r>
        <w:t xml:space="preserve"> </w:t>
      </w:r>
      <w:r>
        <w:t xml:space="preserve">— measured over the full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sample and read across</w:t>
      </w:r>
      <w:r>
        <w:t xml:space="preserve"> </w:t>
      </w:r>
      <w:r>
        <w:rPr>
          <w:bCs/>
          <w:b/>
        </w:rPr>
        <w:t xml:space="preserve">interest-rate regimes</w:t>
      </w:r>
      <w:r>
        <w:t xml:space="preserve">.</w:t>
      </w:r>
    </w:p>
    <w:p>
      <w:pPr>
        <w:pStyle w:val="BodyText"/>
      </w:pPr>
      <w:r>
        <w:t xml:space="preserve">The study answers</w:t>
      </w:r>
      <w:r>
        <w:t xml:space="preserve"> </w:t>
      </w:r>
      <w:r>
        <w:rPr>
          <w:bCs/>
          <w:b/>
        </w:rPr>
        <w:t xml:space="preserve">three plain questions</w:t>
      </w:r>
      <w:r>
        <w:t xml:space="preserve">. Each maps to a formally tested hypothesis, so the</w:t>
      </w:r>
      <w:r>
        <w:t xml:space="preserve"> </w:t>
      </w:r>
      <w:r>
        <w:t xml:space="preserve">simple framing on the left and the statistical test on the right are the same thing: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Plain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Formally tested 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 — Return.</w:t>
            </w:r>
            <w:r>
              <w:t xml:space="preserve"> </w:t>
            </w:r>
            <w:r>
              <w:t xml:space="preserve">Does replacing bonds change long-run return?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: partial replacement raises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Q2 — Risk.</w:t>
            </w:r>
            <w:r>
              <w:t xml:space="preserve"> </w:t>
            </w:r>
            <w:r>
              <w:t xml:space="preserve">Does it change the downside — deep drawdowns and tail losses?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H2a</w:t>
            </w:r>
            <w:r>
              <w:t xml:space="preserve">: full replacement deepens max drawdown ·</w:t>
            </w:r>
            <w:r>
              <w:t xml:space="preserve"> </w:t>
            </w:r>
            <w:r>
              <w:rPr>
                <w:bCs/>
                <w:b/>
              </w:rPr>
              <w:t xml:space="preserve">H2b</w:t>
            </w:r>
            <w:r>
              <w:t xml:space="preserve">: full replacement worsens tail loss (CVaR)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Q3 — Regime.</w:t>
            </w:r>
            <w:r>
              <w:t xml:space="preserve"> </w:t>
            </w:r>
            <w:r>
              <w:t xml:space="preserve">Does the answer depend on the SNB rate environment?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: the effect is regime-dependent</w:t>
            </w:r>
          </w:p>
        </w:tc>
      </w:tr>
    </w:tbl>
    <w:p>
      <w:pPr>
        <w:pStyle w:val="BodyText"/>
      </w:pPr>
      <w:r>
        <w:t xml:space="preserve">Whether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replacement is preferable to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(previously a separate hypothesis) is</w:t>
      </w:r>
      <w:r>
        <w:t xml:space="preserve"> </w:t>
      </w:r>
      <w:r>
        <w:t xml:space="preserve">treated as a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, answered in §9 — not a fourth test.</w:t>
      </w:r>
    </w:p>
    <w:p>
      <w:pPr>
        <w:pStyle w:val="BodyText"/>
      </w:pPr>
      <w:r>
        <w:rPr>
          <w:iCs/>
          <w:i/>
        </w:rPr>
        <w:t xml:space="preserve">Why bonds are hard to replace:</w:t>
      </w:r>
      <w:r>
        <w:t xml:space="preserve"> </w:t>
      </w:r>
      <w:r>
        <w:t xml:space="preserve">in AP5 they provide</w:t>
      </w:r>
      <w:r>
        <w:t xml:space="preserve"> </w:t>
      </w:r>
      <w:r>
        <w:rPr>
          <w:bCs/>
          <w:b/>
        </w:rPr>
        <w:t xml:space="preserve">return/carry, diversification, liquidity,</w:t>
      </w:r>
      <w:r>
        <w:rPr>
          <w:bCs/>
          <w:b/>
        </w:rPr>
        <w:t xml:space="preserve"> </w:t>
      </w:r>
      <w:r>
        <w:rPr>
          <w:bCs/>
          <w:b/>
        </w:rPr>
        <w:t xml:space="preserve">flight-to-quality and duration</w:t>
      </w:r>
      <w:r>
        <w:t xml:space="preserve"> </w:t>
      </w:r>
      <w:r>
        <w:t xml:space="preserve">at once — no single alternative reproduces all of these, which is</w:t>
      </w:r>
      <w:r>
        <w:t xml:space="preserve"> </w:t>
      </w:r>
      <w:r>
        <w:t xml:space="preserve">the tension the three questions probe.</w:t>
      </w:r>
    </w:p>
    <w:p>
      <w:pPr>
        <w:pStyle w:val="BodyText"/>
      </w:pPr>
      <w:r>
        <w:t xml:space="preserve">Verdicts (developed below, from the bootstrap in §6.3):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 — descriptive support</w:t>
      </w:r>
      <w:r>
        <w:t xml:space="preserve">: the point estimate of CAGR rises monotonically with</w:t>
      </w:r>
      <w:r>
        <w:t xml:space="preserve"> </w:t>
      </w:r>
      <w:r>
        <w:t xml:space="preserve">replacement, but the bootstrap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establish a significant positive return</w:t>
      </w:r>
      <w:r>
        <w:t xml:space="preserve"> </w:t>
      </w:r>
      <w:r>
        <w:t xml:space="preserve">difference (P(ΔCAGR&gt;0) ≈ 82–84%; the 95% CI includes zero at each level).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H2a — suggestive</w:t>
      </w:r>
      <w:r>
        <w:t xml:space="preserve">: the bootstrap consistently favours worse drawdowns (P(worse) rising to</w:t>
      </w:r>
      <w:r>
        <w:t xml:space="preserve"> </w:t>
      </w:r>
      <w:r>
        <w:t xml:space="preserve">92% at full replacement), but the 95% interval for ΔMaxDD still</w:t>
      </w:r>
      <w:r>
        <w:t xml:space="preserve"> </w:t>
      </w:r>
      <w:r>
        <w:rPr>
          <w:bCs/>
          <w:b/>
        </w:rPr>
        <w:t xml:space="preserve">includes zero</w:t>
      </w:r>
      <w:r>
        <w:t xml:space="preserve">, so it is</w:t>
      </w:r>
      <w:r>
        <w:t xml:space="preserve"> </w:t>
      </w:r>
      <w:r>
        <w:t xml:space="preserve">not conventionally significant at the 5%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H2b — strong evidence</w:t>
      </w:r>
      <w:r>
        <w:t xml:space="preserve">: worse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is far more decisive — P(worse) reaches</w:t>
      </w:r>
      <w:r>
        <w:t xml:space="preserve"> </w:t>
      </w:r>
      <w:r>
        <w:t xml:space="preserve">≈99–100% by a 20% replacement (and holds at both the 90% and 95% CVaR thresholds, and across</w:t>
      </w:r>
      <w:r>
        <w:t xml:space="preserve"> </w:t>
      </w:r>
      <w:r>
        <w:t xml:space="preserve">bootstrap block lengths of 3/6/12 months). We call this</w:t>
      </w:r>
      <w:r>
        <w:t xml:space="preserve"> </w:t>
      </w:r>
      <w:r>
        <w:rPr>
          <w:iCs/>
          <w:i/>
        </w:rPr>
        <w:t xml:space="preserve">strong evidence</w:t>
      </w:r>
      <w:r>
        <w:t xml:space="preserve"> </w:t>
      </w:r>
      <w:r>
        <w:t xml:space="preserve">rather than</w:t>
      </w:r>
      <w:r>
        <w:t xml:space="preserve"> </w:t>
      </w:r>
      <w:r>
        <w:t xml:space="preserve">"significant" because no formal one-sided 95% decision rule is pre-registered.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 — descriptive support</w:t>
      </w:r>
      <w:r>
        <w:t xml:space="preserve">: the sign of the replacement effect changes across regimes and</w:t>
      </w:r>
      <w:r>
        <w:t xml:space="preserve"> </w:t>
      </w:r>
      <w:r>
        <w:t xml:space="preserve">crisis types (a descriptive, not a formally tested, interaction).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 </w:t>
      </w:r>
      <w:r>
        <w:t xml:space="preserve">(partial vs full, §9): under the primary category-level</w:t>
      </w:r>
      <w:r>
        <w:t xml:space="preserve"> </w:t>
      </w:r>
      <w:r>
        <w:t xml:space="preserve">specification the Sharpe is</w:t>
      </w:r>
      <w:r>
        <w:t xml:space="preserve"> </w:t>
      </w:r>
      <w:r>
        <w:rPr>
          <w:bCs/>
          <w:b/>
        </w:rPr>
        <w:t xml:space="preserve">flat-to-declining in replacement</w:t>
      </w:r>
      <w:r>
        <w:t xml:space="preserve"> </w:t>
      </w:r>
      <w:r>
        <w:t xml:space="preserve">(highest at AP5, ≈0.48 through</w:t>
      </w:r>
      <w:r>
        <w:t xml:space="preserve"> </w:t>
      </w:r>
      <w:r>
        <w:t xml:space="preserve">~50%, then falling), and every ΔSharpe is</w:t>
      </w:r>
      <w:r>
        <w:t xml:space="preserve"> </w:t>
      </w:r>
      <w:r>
        <w:rPr>
          <w:bCs/>
          <w:b/>
        </w:rPr>
        <w:t xml:space="preserve">within bootstrap noise</w:t>
      </w:r>
      <w:r>
        <w:t xml:space="preserve"> </w:t>
      </w:r>
      <w:r>
        <w:t xml:space="preserve">— so partial replacement is a</w:t>
      </w:r>
      <w:r>
        <w:t xml:space="preserve"> </w:t>
      </w:r>
      <w:r>
        <w:t xml:space="preserve">defensible return-and-risk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but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improvement, and 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unique optimal ratio. Full replacement is not supported.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We take the</w:t>
      </w:r>
      <w:r>
        <w:t xml:space="preserve"> </w:t>
      </w:r>
      <w:r>
        <w:rPr>
          <w:bCs/>
          <w:b/>
        </w:rPr>
        <w:t xml:space="preserve">VZ-consistent ±8% as the base case</w:t>
      </w:r>
      <w:r>
        <w:t xml:space="preserve"> </w:t>
      </w:r>
      <w:r>
        <w:t xml:space="preserve">and show the conclusion is insensitive to ±5/10/15/20% (§7). Sharpe/Sortino are computed as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(a zero-risk-free variant differs by ~0.01).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validation is</w:t>
      </w:r>
      <w:r>
        <w:t xml:space="preserve"> </w:t>
      </w:r>
      <w:r>
        <w:rPr>
          <w:bCs/>
          <w:b/>
        </w:rPr>
        <w:t xml:space="preserve">almost independent of the monitoring band</w:t>
      </w:r>
      <w:r>
        <w:t xml:space="preserve">, because VZ's recorded target</w:t>
      </w:r>
      <w:r>
        <w:t xml:space="preserve"> </w:t>
      </w:r>
      <w:r>
        <w:t xml:space="preserve">drift drives most rebalances and the band only triggers between recorded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analysis/ap5_validation_band_sensitivity.csv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Validation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(ann.)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±5%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±8% (main-model band)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0.907</w:t>
            </w:r>
          </w:p>
        </w:tc>
      </w:tr>
    </w:tbl>
    <w:p>
      <w:pPr>
        <w:pStyle w:val="BodyText"/>
      </w:pPr>
      <w:r>
        <w:t xml:space="preserve">So the excellent validation is</w:t>
      </w:r>
      <w:r>
        <w:t xml:space="preserve"> </w:t>
      </w:r>
      <w:r>
        <w:rPr>
          <w:bCs/>
          <w:b/>
        </w:rPr>
        <w:t xml:space="preserve">not an artefact of the tight 5% band</w:t>
      </w:r>
      <w:r>
        <w:t xml:space="preserve"> </w:t>
      </w:r>
      <w:r>
        <w:t xml:space="preserve">— it holds equally at the</w:t>
      </w:r>
      <w:r>
        <w:t xml:space="preserve"> </w:t>
      </w:r>
      <w:r>
        <w:t xml:space="preserve">±8% base band used by the main model.</w:t>
      </w:r>
    </w:p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foreign-equity proxy (a USD price index + FX</w:t>
      </w:r>
      <w:r>
        <w:t xml:space="preserve"> </w:t>
      </w:r>
      <w:r>
        <w:t xml:space="preserve">standing in for 50% of the book) is a</w:t>
      </w:r>
      <w:r>
        <w:t xml:space="preserve"> </w:t>
      </w:r>
      <w:r>
        <w:rPr>
          <w:bCs/>
          <w:b/>
        </w:rPr>
        <w:t xml:space="preserve">plausible important contributor</w:t>
      </w:r>
      <w:r>
        <w:t xml:space="preserve"> </w:t>
      </w:r>
      <w:r>
        <w:t xml:space="preserve">to the residual — we</w:t>
      </w:r>
      <w:r>
        <w:t xml:space="preserve"> </w:t>
      </w:r>
      <w:r>
        <w:t xml:space="preserve">do not decompose it formally, so we do not claim it is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dominant cause. Two caveats:</w:t>
      </w:r>
      <w:r>
        <w:t xml:space="preserve"> </w:t>
      </w:r>
      <w:r>
        <w:t xml:space="preserve">(i) the VZ allocation history is only available at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level, so the validation maps</w:t>
      </w:r>
      <w:r>
        <w:t xml:space="preserve"> </w:t>
      </w:r>
      <w:r>
        <w:t xml:space="preserve">category weights onto the strategic index split from the Kundendoku — it</w:t>
      </w:r>
      <w:r>
        <w:t xml:space="preserve"> </w:t>
      </w:r>
      <w:r>
        <w:rPr>
          <w:bCs/>
          <w:b/>
        </w:rPr>
        <w:t xml:space="preserve">assumes the</w:t>
      </w:r>
      <w:r>
        <w:rPr>
          <w:bCs/>
          <w:b/>
        </w:rPr>
        <w:t xml:space="preserve"> </w:t>
      </w:r>
      <w:r>
        <w:rPr>
          <w:bCs/>
          <w:b/>
        </w:rPr>
        <w:t xml:space="preserve">within-category index proportions were constant</w:t>
      </w:r>
      <w:r>
        <w:t xml:space="preserve"> </w:t>
      </w:r>
      <w:r>
        <w:t xml:space="preserve">over the validation window, so the 0.955 is</w:t>
      </w:r>
      <w:r>
        <w:t xml:space="preserve"> </w:t>
      </w:r>
      <w:r>
        <w:t xml:space="preserve">partly a validation of that mapping; (ii)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</w:t>
      </w:r>
      <w:r>
        <w:t xml:space="preserve"> </w:t>
      </w:r>
      <w:r>
        <w:t xml:space="preserve">and every replacement book, so its bias is common to all — though under band rebalancing it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timing/turnover/cost, a second-order effect).</w:t>
      </w:r>
      <w:r>
        <w:t xml:space="preserve"> </w:t>
      </w:r>
      <w:r>
        <w:t xml:space="preserve">We therefore treat it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not an exact replica.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t xml:space="preserve">We define an</w:t>
      </w:r>
      <w:r>
        <w:t xml:space="preserve"> </w:t>
      </w:r>
      <w:r>
        <w:rPr>
          <w:bCs/>
          <w:b/>
        </w:rPr>
        <w:t xml:space="preserve">investable proxy</w:t>
      </w:r>
      <w:r>
        <w:t xml:space="preserve"> </w:t>
      </w:r>
      <w:r>
        <w:t xml:space="preserve">as a publicly traded market instrument with an observable</w:t>
      </w:r>
      <w:r>
        <w:t xml:space="preserve"> </w:t>
      </w:r>
      <w:r>
        <w:t xml:space="preserve">total-return history;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universal availability to a Swiss retail investor</w:t>
      </w:r>
      <w:r>
        <w:t xml:space="preserve"> </w:t>
      </w:r>
      <w:r>
        <w:t xml:space="preserve">(US ETFs such as HYG/EMB require authorisation to be offered to non-qualified Swiss investors).</w:t>
      </w:r>
      <w:r>
        <w:t xml:space="preserve"> </w:t>
      </w:r>
      <w:r>
        <w:t xml:space="preserve">For EM debt a CHF-hedged UCITS vehicle is directly available (e.g. iShares J.P. Morgan $ EM Bond</w:t>
      </w:r>
      <w:r>
        <w:t xml:space="preserve"> </w:t>
      </w:r>
      <w:r>
        <w:t xml:space="preserve">CHF-Hedged UCITS ETF,</w:t>
      </w:r>
      <w:r>
        <w:t xml:space="preserve"> </w:t>
      </w:r>
      <w:r>
        <w:rPr>
          <w:iCs/>
          <w:i/>
        </w:rPr>
        <w:t xml:space="preserve">EMBC</w:t>
      </w:r>
      <w:r>
        <w:t xml:space="preserve">); for US high yield the CHF-hedged UCITS listing is less</w:t>
      </w:r>
      <w:r>
        <w:t xml:space="preserve"> </w:t>
      </w:r>
      <w:r>
        <w:t xml:space="preserve">standardised, so Swiss implementation of the HY leg requires an appropriate local/UCITS vehicle</w:t>
      </w:r>
      <w:r>
        <w:t xml:space="preserve"> </w:t>
      </w:r>
      <w:r>
        <w:t xml:space="preserve">(e.g. a CHF-hedged global-HY UCITS) rather than a like-for-like HYG hedge share.</w:t>
      </w:r>
      <w:r>
        <w:t xml:space="preserve"> </w:t>
      </w:r>
      <w:r>
        <w:t xml:space="preserve">"Market-investable" ≠ "Swiss-retail accessible" —</w:t>
      </w:r>
      <w:r>
        <w:t xml:space="preserve"> </w:t>
      </w:r>
      <w:r>
        <w:t xml:space="preserve">the thesis measures the former; a Swiss investor would implement via the appropriate local</w:t>
      </w:r>
      <w:r>
        <w:t xml:space="preserve"> </w:t>
      </w:r>
      <w:r>
        <w:t xml:space="preserve">vehicle. Included candidates, classified by</w:t>
      </w:r>
      <w:r>
        <w:t xml:space="preserve"> </w:t>
      </w:r>
      <w:r>
        <w:rPr>
          <w:iCs/>
          <w:i/>
        </w:rPr>
        <w:t xml:space="preserve">which function of bonds</w:t>
      </w:r>
      <w:r>
        <w:t xml:space="preserve"> </w:t>
      </w:r>
      <w:r>
        <w:t xml:space="preserve">they proxy:</w:t>
      </w:r>
    </w:p>
    <w:p>
      <w:pPr>
        <w:pStyle w:val="BodyText"/>
      </w:pPr>
      <w:r>
        <w:t xml:space="preserve">Sharpe below is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(same basis as the portfolio tables):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(US 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Swiss-retail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(HYG,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global-HY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(EMB,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 (EMBC)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Swiss gold 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/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 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(CWB,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Crucially,</w:t>
      </w:r>
      <w:r>
        <w:t xml:space="preserve"> </w:t>
      </w:r>
      <w:r>
        <w:rPr>
          <w:bCs/>
          <w:b/>
        </w:rPr>
        <w:t xml:space="preserve">none is a duration substitute</w:t>
      </w:r>
      <w:r>
        <w:t xml:space="preserve"> </w:t>
      </w:r>
      <w:r>
        <w:t xml:space="preserve">— the bond function hardest to replace. So the</w:t>
      </w:r>
      <w:r>
        <w:t xml:space="preserve"> </w:t>
      </w:r>
      <w:r>
        <w:t xml:space="preserve">basket is a</w:t>
      </w:r>
      <w:r>
        <w:t xml:space="preserve"> </w:t>
      </w:r>
      <w:r>
        <w:rPr>
          <w:iCs/>
          <w:i/>
        </w:rPr>
        <w:t xml:space="preserve">bond-sleeve</w:t>
      </w:r>
      <w:r>
        <w:t xml:space="preserve"> </w:t>
      </w:r>
      <w:r>
        <w:t xml:space="preserve">replacement (replacing what the sleeve mostly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carry,</w:t>
      </w:r>
      <w:r>
        <w:t xml:space="preserve"> </w:t>
      </w:r>
      <w:r>
        <w:t xml:space="preserve">diversification, some inflation and crisis hedging),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bond</w:t>
      </w:r>
      <w:r>
        <w:t xml:space="preserve"> </w:t>
      </w:r>
      <w:r>
        <w:rPr>
          <w:iCs/>
          <w:i/>
        </w:rPr>
        <w:t xml:space="preserve">substitute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 duration and flight-to-quality.</w:t>
      </w:r>
      <w:r>
        <w:t xml:space="preserve"> </w:t>
      </w:r>
      <w:r>
        <w:rPr>
          <w:bCs/>
          <w:b/>
        </w:rPr>
        <w:t xml:space="preserve">Inclusion rule (ex ante):</w:t>
      </w:r>
      <w:r>
        <w:t xml:space="preserve"> </w:t>
      </w:r>
      <w:r>
        <w:t xml:space="preserve">liquid + market-</w:t>
      </w:r>
      <w:r>
        <w:t xml:space="preserve"> </w:t>
      </w:r>
      <w:r>
        <w:t xml:space="preserve">investable + mark-to-market + sufficient history.</w:t>
      </w:r>
      <w:r>
        <w:t xml:space="preserve"> </w:t>
      </w:r>
      <w:r>
        <w:rPr>
          <w:bCs/>
          <w:b/>
        </w:rPr>
        <w:t xml:space="preserve">Primary basket</w:t>
      </w:r>
      <w:r>
        <w:t xml:space="preserve"> </w:t>
      </w:r>
      <w:r>
        <w:t xml:space="preserve">= equal weight of the six</w:t>
      </w:r>
      <w:r>
        <w:t xml:space="preserve"> </w:t>
      </w:r>
      <w:r>
        <w:t xml:space="preserve">with histories beginning in 2008 that satisfy this rule (EM debt begins 2008-02, which fixes the</w:t>
      </w:r>
      <w:r>
        <w:t xml:space="preserve"> </w:t>
      </w:r>
      <w:r>
        <w:t xml:space="preserve">common sample window for every book at 2008-02 – 2026-06); convertibles are a candidate class</w:t>
      </w:r>
      <w:r>
        <w:t xml:space="preserve"> </w:t>
      </w:r>
      <w:r>
        <w:t xml:space="preserve">analysed separately (no consistent pre-2009 history).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Global-rate context (secondary).</w:t>
      </w:r>
      <w:r>
        <w:t xml:space="preserve"> </w:t>
      </w:r>
      <w:r>
        <w:t xml:space="preserve">The four regimes are classified on the</w:t>
      </w:r>
      <w:r>
        <w:t xml:space="preserve"> </w:t>
      </w:r>
      <w:r>
        <w:rPr>
          <w:bCs/>
          <w:b/>
        </w:rPr>
        <w:t xml:space="preserve">SNB policy path</w:t>
      </w:r>
      <w:r>
        <w:t xml:space="preserve"> </w:t>
      </w:r>
      <w:r>
        <w:t xml:space="preserve">— the correct primary lens for a CHF-based Swiss investor with a Swiss local-bond allocation and</w:t>
      </w:r>
      <w:r>
        <w:t xml:space="preserve"> </w:t>
      </w:r>
      <w:r>
        <w:t xml:space="preserve">a CHF cash benchmark. Because the World-Bond sleeve is 25.2% of AP5 and internationally exposed,</w:t>
      </w:r>
      <w:r>
        <w:t xml:space="preserve"> </w:t>
      </w:r>
      <w:r>
        <w:t xml:space="preserve">we report the</w:t>
      </w:r>
      <w:r>
        <w:t xml:space="preserve"> </w:t>
      </w:r>
      <w:r>
        <w:rPr>
          <w:bCs/>
          <w:b/>
        </w:rPr>
        <w:t xml:space="preserve">Fed policy rate</w:t>
      </w:r>
      <w:r>
        <w:t xml:space="preserve"> </w:t>
      </w:r>
      <w:r>
        <w:t xml:space="preserve">at each regime's boundaries as secondary context (not a</w:t>
      </w:r>
      <w:r>
        <w:t xml:space="preserve"> </w:t>
      </w:r>
      <w:r>
        <w:t xml:space="preserve">reclassification): R1 SNB +2.75%→−0.25% / Fed 3.00%→0.12%; R2 SNB −0.75% flat / Fed 0.12%→0.88%;</w:t>
      </w:r>
      <w:r>
        <w:t xml:space="preserve"> </w:t>
      </w:r>
      <w:r>
        <w:t xml:space="preserve">R3 SNB −0.25%→+1.75% / Fed 1.62%→5.38%; R4 SNB +1.50%→0.00% / Fed 5.38%→3.62%. SNB and Fed cycles</w:t>
      </w:r>
      <w:r>
        <w:t xml:space="preserve"> </w:t>
      </w:r>
      <w:r>
        <w:t xml:space="preserve">broadly co-move but with different timing and amplitude — which is precisely why the world-bond</w:t>
      </w:r>
      <w:r>
        <w:t xml:space="preserve"> </w:t>
      </w:r>
      <w:r>
        <w:t xml:space="preserve">tranche (Global Aggregate) behaves differently from the Swiss tranche within the same SNB regime.</w:t>
      </w:r>
    </w:p>
    <w:p>
      <w:pPr>
        <w:pStyle w:val="FirstParagraph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In the 2022–24 tightening the</w:t>
      </w:r>
      <w:r>
        <w:t xml:space="preserve"> </w:t>
      </w:r>
      <w:r>
        <w:rPr>
          <w:bCs/>
          <w:b/>
        </w:rPr>
        <w:t xml:space="preserve">broad global</w:t>
      </w:r>
      <w:r>
        <w:rPr>
          <w:bCs/>
          <w:b/>
        </w:rPr>
        <w:t xml:space="preserve"> </w:t>
      </w:r>
      <w:r>
        <w:rPr>
          <w:bCs/>
          <w:b/>
        </w:rPr>
        <w:t xml:space="preserve">bond tranche was hit hardest (−2.9%/yr) while Swiss bonds stayed positive (+1.6%/yr)</w:t>
      </w:r>
      <w:r>
        <w:t xml:space="preserve">, and within</w:t>
      </w:r>
      <w:r>
        <w:t xml:space="preserve"> </w:t>
      </w:r>
      <w:r>
        <w:t xml:space="preserve">the global tranche the short-duration series lost far less than the broad one (−1.2% vs −2.9%) —</w:t>
      </w:r>
      <w:r>
        <w:t xml:space="preserve"> </w:t>
      </w:r>
      <w:r>
        <w:t xml:space="preserve">a pattern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redundant</w:t>
      </w:r>
      <w:r>
        <w:t xml:space="preserve">, but the case rests on more than correlation: full-sample correlation 0.79</w:t>
      </w:r>
      <w:r>
        <w:t xml:space="preserve"> </w:t>
      </w:r>
      <w:r>
        <w:t xml:space="preserve">(R² ≈ 0.62, so ~38% of Swiss-bond variance is idiosyncratic; OLS beta 0.81),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cumulative regime returns diverge sharply (R3: +2.9% vs −2.0%) despite a high</w:t>
      </w:r>
      <w:r>
        <w:t xml:space="preserve"> </w:t>
      </w:r>
      <w:r>
        <w:rPr>
          <w:iCs/>
          <w:i/>
        </w:rPr>
        <w:t xml:space="preserve">monthly</w:t>
      </w:r>
      <w:r>
        <w:t xml:space="preserve"> </w:t>
      </w:r>
      <w:r>
        <w:t xml:space="preserve">co-movement (R3 correlation 0.83) — i.e. they carry distinct duration/rate exposures even when</w:t>
      </w:r>
      <w:r>
        <w:t xml:space="preserve"> </w:t>
      </w:r>
      <w:r>
        <w:t xml:space="preserve">they move together month to month.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basket). Sharpe is the</w:t>
      </w:r>
      <w:r>
        <w:t xml:space="preserve"> </w:t>
      </w:r>
      <w:r>
        <w:rPr>
          <w:bCs/>
          <w:b/>
        </w:rPr>
        <w:t xml:space="preserve">excess return over the CHF cash proxy</w:t>
      </w:r>
      <w:r>
        <w:t xml:space="preserve">; a zero-risk-free Sharpe is ~0.01 higher throughout</w:t>
      </w:r>
      <w:r>
        <w:t xml:space="preserve"> </w:t>
      </w:r>
      <w:r>
        <w:t xml:space="preserve">(so the risk-free choice does not affect any conclusion):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 and tail loss, with Sharpe</w:t>
      </w:r>
      <w:r>
        <w:rPr>
          <w:bCs/>
          <w:b/>
        </w:rPr>
        <w:t xml:space="preserve"> </w:t>
      </w:r>
      <w:r>
        <w:rPr>
          <w:bCs/>
          <w:b/>
        </w:rPr>
        <w:t xml:space="preserve">roughly flat (~0.48) up to ~50% and then declining to ~0.46 at full replacement.</w:t>
      </w:r>
      <w:r>
        <w:t xml:space="preserve"> </w:t>
      </w:r>
      <w:r>
        <w:t xml:space="preserve">That clean</w:t>
      </w:r>
      <w:r>
        <w:t xml:space="preserve"> </w:t>
      </w:r>
      <w:r>
        <w:t xml:space="preserve">monotonic risk–return trade-off is the central finding. Under this (primary) category-level</w:t>
      </w:r>
      <w:r>
        <w:t xml:space="preserve"> </w:t>
      </w:r>
      <w:r>
        <w:t xml:space="preserve">specification the point-estimate Sharpe is</w:t>
      </w:r>
      <w:r>
        <w:t xml:space="preserve"> </w:t>
      </w:r>
      <w:r>
        <w:rPr>
          <w:bCs/>
          <w:b/>
        </w:rPr>
        <w:t xml:space="preserve">highest at AP5 / low replacement and never rises</w:t>
      </w:r>
      <w:r>
        <w:rPr>
          <w:bCs/>
          <w:b/>
        </w:rPr>
        <w:t xml:space="preserve"> </w:t>
      </w:r>
      <w:r>
        <w:rPr>
          <w:bCs/>
          <w:b/>
        </w:rPr>
        <w:t xml:space="preserve">above it</w:t>
      </w:r>
      <w:r>
        <w:t xml:space="preserve"> </w:t>
      </w:r>
      <w:r>
        <w:t xml:space="preserve">— i.e.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; low-to-moderate replacement is</w:t>
      </w:r>
      <w:r>
        <w:t xml:space="preserve"> </w:t>
      </w:r>
      <w:r>
        <w:t xml:space="preserve">approximately</w:t>
      </w:r>
      <w:r>
        <w:t xml:space="preserve"> </w:t>
      </w:r>
      <w:r>
        <w:rPr>
          <w:iCs/>
          <w:i/>
        </w:rPr>
        <w:t xml:space="preserve">Sharpe-neutral</w:t>
      </w:r>
      <w:r>
        <w:t xml:space="preserve"> </w:t>
      </w:r>
      <w:r>
        <w:t xml:space="preserve">while adding return-and-risk, and full replacement is weakly worse</w:t>
      </w:r>
      <w:r>
        <w:t xml:space="preserve"> </w:t>
      </w:r>
      <w:r>
        <w:t xml:space="preserve">on Sharpe and clearly worse on downside.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paths, mean block 6 months) of the</w:t>
      </w:r>
      <w:r>
        <w:t xml:space="preserve"> </w:t>
      </w:r>
      <w:r>
        <w:rPr>
          <w:bCs/>
          <w:b/>
        </w:rPr>
        <w:t xml:space="preserve">realised monthly</w:t>
      </w:r>
      <w:r>
        <w:rPr>
          <w:bCs/>
          <w:b/>
        </w:rPr>
        <w:t xml:space="preserve"> </w:t>
      </w:r>
      <w:r>
        <w:rPr>
          <w:bCs/>
          <w:b/>
        </w:rPr>
        <w:t xml:space="preserve">returns generated by the band-rebalanced strategies</w:t>
      </w:r>
      <w:r>
        <w:t xml:space="preserve"> </w:t>
      </w:r>
      <w:r>
        <w:t xml:space="preserve">— i.e. it quantifies sampling uncertainty</w:t>
      </w:r>
      <w:r>
        <w:t xml:space="preserve"> </w:t>
      </w:r>
      <w:r>
        <w:t xml:space="preserve">conditional on the realised return process, not full model/strategy uncertainty. Differences</w:t>
      </w:r>
      <w:r>
        <w:t xml:space="preserve"> </w:t>
      </w:r>
      <w:r>
        <w:t xml:space="preserve">vs AP5: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[5%, 95%] · P(&gt;0)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CVaR95)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[−0.03, +0.03] · 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[−0.07, +0.07] · 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[−0.14, +0.11] · 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Cs/>
          <w:b/>
        </w:rPr>
        <w:t xml:space="preserve">return rises but not significantly</w:t>
      </w:r>
      <w:r>
        <w:t xml:space="preserve"> </w:t>
      </w:r>
      <w:r>
        <w:t xml:space="preserve">— P(ΔCAGR&gt;0) ≈ 82–84%, CI includes zero (H1</w:t>
      </w:r>
      <w:r>
        <w:t xml:space="preserve"> </w:t>
      </w:r>
      <w:r>
        <w:t xml:space="preserve">descriptive).</w:t>
      </w:r>
      <w:r>
        <w:t xml:space="preserve"> </w:t>
      </w: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</w:t>
      </w:r>
      <w:r>
        <w:t xml:space="preserve"> </w:t>
      </w:r>
      <w:r>
        <w:t xml:space="preserve">ΔSharpe CI straddles 0, and P(ΔSharpe&gt;0) is ≤ 45% throughout — the point estimate slightly</w:t>
      </w:r>
      <w:r>
        <w:t xml:space="preserve"> </w:t>
      </w:r>
      <w:r>
        <w:rPr>
          <w:iCs/>
          <w:i/>
        </w:rPr>
        <w:t xml:space="preserve">favours AP5</w:t>
      </w:r>
      <w:r>
        <w:t xml:space="preserve">). Drawdown</w:t>
      </w:r>
      <w:r>
        <w:t xml:space="preserve"> </w:t>
      </w:r>
      <w:r>
        <w:rPr>
          <w:iCs/>
          <w:i/>
        </w:rPr>
        <w:t xml:space="preserve">favours</w:t>
      </w:r>
      <w:r>
        <w:t xml:space="preserve"> </w:t>
      </w:r>
      <w:r>
        <w:t xml:space="preserve">worse but its 95% CI still includes zero (H2a suggestive).</w:t>
      </w:r>
      <w:r>
        <w:t xml:space="preserve"> </w:t>
      </w:r>
      <w:r>
        <w:rPr>
          <w:bCs/>
          <w:b/>
        </w:rPr>
        <w:t xml:space="preserve">Tail loss (CVaR) is the decisive downside result</w:t>
      </w:r>
      <w:r>
        <w:t xml:space="preserve"> </w:t>
      </w:r>
      <w:r>
        <w:t xml:space="preserve">— worse with ≈99–100% probability from a 20%</w:t>
      </w:r>
      <w:r>
        <w:t xml:space="preserve"> </w:t>
      </w:r>
      <w:r>
        <w:t xml:space="preserve">replacement (robust to the 90% vs 95% CVaR threshold and to bootstrap block lengths of 3/6/12</w:t>
      </w:r>
      <w:r>
        <w:t xml:space="preserve"> </w:t>
      </w:r>
      <w:r>
        <w:t xml:space="preserve">months; H2b strong evidence).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 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 not</w:t>
      </w:r>
      <w:r>
        <w:t xml:space="preserve"> </w:t>
      </w:r>
      <w:r>
        <w:t xml:space="preserve">established.</w:t>
      </w:r>
    </w:p>
    <w:bookmarkEnd w:id="27"/>
    <w:bookmarkStart w:id="28" w:name="X07a2e537d36f598d8a3576499bee861c4eb4d2e"/>
    <w:p>
      <w:pPr>
        <w:pStyle w:val="Heading3"/>
      </w:pPr>
      <w:r>
        <w:t xml:space="preserve">6.4 Crisis behaviour — 2020 vs 2022 (illustrative stress windows)</w:t>
      </w:r>
    </w:p>
    <w:p>
      <w:pPr>
        <w:pStyle w:val="FirstParagraph"/>
      </w:pPr>
      <w:r>
        <w:t xml:space="preserve">Total return over each window, net of fees. These are</w:t>
      </w:r>
      <w:r>
        <w:t xml:space="preserve"> </w:t>
      </w:r>
      <w:r>
        <w:rPr>
          <w:bCs/>
          <w:b/>
        </w:rPr>
        <w:t xml:space="preserve">illustrative windows selected ex post</w:t>
      </w:r>
      <w:r>
        <w:rPr>
          <w:bCs/>
          <w:b/>
        </w:rPr>
        <w:t xml:space="preserve"> </w:t>
      </w:r>
      <w:r>
        <w:rPr>
          <w:bCs/>
          <w:b/>
        </w:rPr>
        <w:t xml:space="preserve">to examine distinct shock types</w:t>
      </w:r>
      <w:r>
        <w:t xml:space="preserve">, not formal out-of-sample stress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 (Jan–Apr)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 (Dec21–Oct22)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 (Feb–May)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p>
      <w:pPr>
        <w:pStyle w:val="BlockText"/>
      </w:pPr>
      <w:r>
        <w:rPr>
          <w:bCs/>
          <w:b/>
        </w:rPr>
        <w:t xml:space="preserve">Sample-window caveat.</w:t>
      </w:r>
      <w:r>
        <w:t xml:space="preserve"> </w:t>
      </w:r>
      <w:r>
        <w:t xml:space="preserve">The 2008–09 GFC and the short R4 window (2024–26, ~28 months,</w:t>
      </w:r>
      <w:r>
        <w:t xml:space="preserve"> </w:t>
      </w:r>
      <w:r>
        <w:t xml:space="preserve">where a Sharpe of ~1.4 should not be over-interpreted) materially influence the level and</w:t>
      </w:r>
      <w:r>
        <w:t xml:space="preserve"> </w:t>
      </w:r>
      <w:r>
        <w:t xml:space="preserve">Sharpe estimates. Excluding 2008–09 (the 2010+ run) lifts all Sharpes to ~0.58–0.61 — so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 is not independent of the GFC sample, even though the</w:t>
      </w:r>
      <w:r>
        <w:t xml:space="preserve"> </w:t>
      </w:r>
      <w:r>
        <w:rPr>
          <w:iCs/>
          <w:i/>
        </w:rPr>
        <w:t xml:space="preserve">qualitative</w:t>
      </w:r>
      <w:r>
        <w:t xml:space="preserve"> </w:t>
      </w:r>
      <w:r>
        <w:t xml:space="preserve">conclusion (Sharpe flat-to-declining in replacement; full replacement deepens downside) is</w:t>
      </w:r>
      <w:r>
        <w:t xml:space="preserve"> </w:t>
      </w:r>
      <w:r>
        <w:t xml:space="preserve">unchanged.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 the</w:t>
      </w:r>
      <w:r>
        <w:t xml:space="preserve"> </w:t>
      </w:r>
      <w:r>
        <w:rPr>
          <w:bCs/>
          <w:b/>
        </w:rPr>
        <w:t xml:space="preserve">tested specifications</w:t>
      </w:r>
      <w:r>
        <w:t xml:space="preserve"> </w:t>
      </w:r>
      <w:r>
        <w:t xml:space="preserve">— rebalancing band (±5/8/10/15/20%, base ±8%), transaction</w:t>
      </w:r>
      <w:r>
        <w:t xml:space="preserve"> </w:t>
      </w:r>
      <w:r>
        <w:t xml:space="preserve">cost (0–50 bps), the CHF-hedge assumption, and the 2008–09 short-bond</w:t>
      </w:r>
      <w:r>
        <w:t xml:space="preserve"> </w:t>
      </w:r>
      <w:r>
        <w:rPr>
          <w:bCs/>
          <w:b/>
        </w:rPr>
        <w:t xml:space="preserve">sample-window</w:t>
      </w:r>
      <w:r>
        <w:t xml:space="preserve"> </w:t>
      </w:r>
      <w:r>
        <w:t xml:space="preserve">sensitivity (full sample vs 2010+) —</w:t>
      </w:r>
      <w:r>
        <w:t xml:space="preserve"> </w:t>
      </w:r>
      <w:r>
        <w:rPr>
          <w:bCs/>
          <w:b/>
        </w:rPr>
        <w:t xml:space="preserve">full replacement deepens drawdown in every single tested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specification, and worsens CVaR95 in every one as well</w:t>
      </w:r>
      <w:r>
        <w:t xml:space="preserve"> </w:t>
      </w:r>
      <w:r>
        <w:t xml:space="preserve">(the sensitivity matrix now reports</w:t>
      </w:r>
      <w:r>
        <w:t xml:space="preserve"> </w:t>
      </w:r>
      <w:r>
        <w:rPr>
          <w:rStyle w:val="VerbatimChar"/>
        </w:rPr>
        <w:t xml:space="preserve">AP5_CVaR95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repl100_CVaR95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full_worse_CVaR95</w:t>
      </w:r>
      <w:r>
        <w:t xml:space="preserve"> </w:t>
      </w:r>
      <w:r>
        <w:t xml:space="preserve">alongside drawdown, and the bootstrap</w:t>
      </w:r>
      <w:r>
        <w:t xml:space="preserve"> </w:t>
      </w:r>
      <w:r>
        <w:t xml:space="preserve">confirms the same tail-loss deterioration with ≈100% probability). Under the primary</w:t>
      </w:r>
      <w:r>
        <w:t xml:space="preserve"> </w:t>
      </w:r>
      <w:r>
        <w:t xml:space="preserve">category-level specification</w:t>
      </w:r>
      <w:r>
        <w:t xml:space="preserve"> </w:t>
      </w:r>
      <w:r>
        <w:rPr>
          <w:bCs/>
          <w:b/>
        </w:rPr>
        <w:t xml:space="preserve">partial replacement is essentially Sharpe-neutral, not</w:t>
      </w:r>
      <w:r>
        <w:rPr>
          <w:bCs/>
          <w:b/>
        </w:rPr>
        <w:t xml:space="preserve"> </w:t>
      </w:r>
      <w:r>
        <w:rPr>
          <w:bCs/>
          <w:b/>
        </w:rPr>
        <w:t xml:space="preserve">Sharpe-superior</w:t>
      </w:r>
      <w:r>
        <w:t xml:space="preserve">: at the base ±8% band, repl-20 Sharpe 0.482 is a hair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AP5 0.483, and</w:t>
      </w:r>
      <w:r>
        <w:t xml:space="preserve"> </w:t>
      </w:r>
      <w:r>
        <w:t xml:space="preserve">across the band/cost grid partial replacement is at best tied with AP5 (it edges marginally ahead</w:t>
      </w:r>
      <w:r>
        <w:t xml:space="preserve"> </w:t>
      </w:r>
      <w:r>
        <w:t xml:space="preserve">only at the widest ±15% band and in the 2010+ sub-sample). Leaving HY/EM</w:t>
      </w:r>
      <w:r>
        <w:t xml:space="preserve"> </w:t>
      </w:r>
      <w:r>
        <w:rPr>
          <w:bCs/>
          <w:b/>
        </w:rPr>
        <w:t xml:space="preserve">unhedged</w:t>
      </w:r>
      <w:r>
        <w:t xml:space="preserve"> </w:t>
      </w:r>
      <w:r>
        <w:t xml:space="preserve">widens the</w:t>
      </w:r>
      <w:r>
        <w:t xml:space="preserve"> </w:t>
      </w:r>
      <w:r>
        <w:t xml:space="preserve">gap the other way (repl-20 0.476 vs AP5 0.483; repl-100 0.442 vs 0.461). So the robust,</w:t>
      </w:r>
      <w:r>
        <w:t xml:space="preserve"> </w:t>
      </w:r>
      <w:r>
        <w:t xml:space="preserve">unconditional result is unchanged and if anything sharper:</w:t>
      </w:r>
      <w:r>
        <w:t xml:space="preserve"> </w:t>
      </w:r>
      <w:r>
        <w:rPr>
          <w:bCs/>
          <w:b/>
        </w:rPr>
        <w:t xml:space="preserve">full replacement clearly worsens</w:t>
      </w:r>
      <w:r>
        <w:rPr>
          <w:bCs/>
          <w:b/>
        </w:rPr>
        <w:t xml:space="preserve"> </w:t>
      </w:r>
      <w:r>
        <w:rPr>
          <w:bCs/>
          <w:b/>
        </w:rPr>
        <w:t xml:space="preserve">downside and does not improve Sharpe; partial replacement buys extra return-and-risk at roughly</w:t>
      </w:r>
      <w:r>
        <w:rPr>
          <w:bCs/>
          <w:b/>
        </w:rPr>
        <w:t xml:space="preserve"> </w:t>
      </w:r>
      <w:r>
        <w:rPr>
          <w:bCs/>
          <w:b/>
        </w:rPr>
        <w:t xml:space="preserve">constant Sharpe.</w:t>
      </w:r>
      <w:r>
        <w:t xml:space="preserve"> </w:t>
      </w: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specification in which replacement delivers a</w:t>
      </w:r>
      <w:r>
        <w:t xml:space="preserve"> </w:t>
      </w:r>
      <w:r>
        <w:rPr>
          <w:iCs/>
          <w:i/>
        </w:rPr>
        <w:t xml:space="preserve">reliable</w:t>
      </w:r>
      <w:r>
        <w:t xml:space="preserve"> </w:t>
      </w:r>
      <w:r>
        <w:t xml:space="preserve">risk-adjusted advantage. (The 2010+ sample also changes the period/GFC exposure, so it is a</w:t>
      </w:r>
      <w:r>
        <w:t xml:space="preserve"> </w:t>
      </w:r>
      <w:r>
        <w:rPr>
          <w:iCs/>
          <w:i/>
        </w:rPr>
        <w:t xml:space="preserve">sample-window</w:t>
      </w:r>
      <w:r>
        <w:t xml:space="preserve"> </w:t>
      </w:r>
      <w:r>
        <w:t xml:space="preserve">test, not a pure splice test.)</w:t>
      </w:r>
    </w:p>
    <w:p>
      <w:pPr>
        <w:pStyle w:val="BodyText"/>
      </w:pPr>
      <w:r>
        <w:t xml:space="preserve">The conclusion is also</w:t>
      </w:r>
      <w:r>
        <w:t xml:space="preserve"> </w:t>
      </w:r>
      <w:r>
        <w:rPr>
          <w:bCs/>
          <w:b/>
        </w:rPr>
        <w:t xml:space="preserve">robust to the band architecture itself</w:t>
      </w:r>
      <w:r>
        <w:t xml:space="preserve">: monitoring every constituent</w:t>
      </w:r>
      <w:r>
        <w:t xml:space="preserve"> </w:t>
      </w:r>
      <w:r>
        <w:t xml:space="preserve">with its own ±8% band rebalances far more often but leaves CAGR/Sharpe/MaxDD essentially</w:t>
      </w:r>
      <w:r>
        <w:t xml:space="preserve"> </w:t>
      </w:r>
      <w:r>
        <w:t xml:space="preserve">identical, confirming the category-level primary specification is not doing the 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analysis/robustness_granular_vs_category.csv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CAGR / Sharpe / 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rebalances (AP5 / 20 /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 / 0.48 / 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37 / 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Per-constituent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 / 0.48 / 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/ 92 / 96</w:t>
            </w:r>
          </w:p>
        </w:tc>
      </w:tr>
    </w:tbl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~0.52.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materially affects the results, in addition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replacement fraction</w:t>
      </w:r>
      <w:r>
        <w:t xml:space="preserve"> </w:t>
      </w:r>
      <w:r>
        <w:t xml:space="preserve">— a motivation for out-of-sample basket selection as future work.</w:t>
      </w:r>
    </w:p>
    <w:bookmarkEnd w:id="31"/>
    <w:bookmarkStart w:id="32" w:name="X3d4237cee8df031536123adae02fc9a522781c0"/>
    <w:p>
      <w:pPr>
        <w:pStyle w:val="Heading2"/>
      </w:pPr>
      <w:r>
        <w:t xml:space="preserve">9. Recommendation and economic interpretation</w:t>
      </w:r>
    </w:p>
    <w:p>
      <w:pPr>
        <w:pStyle w:val="FirstParagraph"/>
      </w:pPr>
      <w:r>
        <w:rPr>
          <w:bCs/>
          <w:b/>
        </w:rPr>
        <w:t xml:space="preserve">Economic conclusion.</w:t>
      </w:r>
      <w:r>
        <w:t xml:space="preserve"> </w:t>
      </w:r>
      <w:r>
        <w:t xml:space="preserve">You are not really replacing</w:t>
      </w:r>
      <w:r>
        <w:t xml:space="preserve"> </w:t>
      </w:r>
      <w:r>
        <w:rPr>
          <w:iCs/>
          <w:i/>
        </w:rPr>
        <w:t xml:space="preserve">bonds</w:t>
      </w:r>
      <w:r>
        <w:t xml:space="preserve">; you are replacing</w:t>
      </w:r>
      <w:r>
        <w:t xml:space="preserve"> </w:t>
      </w:r>
      <w:r>
        <w:rPr>
          <w:iCs/>
          <w:i/>
        </w:rPr>
        <w:t xml:space="preserve">parts of what</w:t>
      </w:r>
      <w:r>
        <w:rPr>
          <w:iCs/>
          <w:i/>
        </w:rPr>
        <w:t xml:space="preserve"> </w:t>
      </w:r>
      <w:r>
        <w:rPr>
          <w:iCs/>
          <w:i/>
        </w:rPr>
        <w:t xml:space="preserve">bonds do</w:t>
      </w:r>
      <w:r>
        <w:t xml:space="preserve">. The evidence supports replacing bond</w:t>
      </w:r>
      <w:r>
        <w:t xml:space="preserve"> </w:t>
      </w:r>
      <w:r>
        <w:rPr>
          <w:bCs/>
          <w:b/>
        </w:rPr>
        <w:t xml:space="preserve">return/carry</w:t>
      </w:r>
      <w:r>
        <w:t xml:space="preserve">, some</w:t>
      </w:r>
      <w:r>
        <w:t xml:space="preserve"> </w:t>
      </w:r>
      <w:r>
        <w:rPr>
          <w:bCs/>
          <w:b/>
        </w:rPr>
        <w:t xml:space="preserve">inflation</w:t>
      </w:r>
      <w:r>
        <w:t xml:space="preserve"> </w:t>
      </w:r>
      <w:r>
        <w:t xml:space="preserve">exposure</w:t>
      </w:r>
      <w:r>
        <w:t xml:space="preserve"> </w:t>
      </w:r>
      <w:r>
        <w:t xml:space="preserve">and some</w:t>
      </w:r>
      <w:r>
        <w:t xml:space="preserve"> </w:t>
      </w:r>
      <w:r>
        <w:rPr>
          <w:bCs/>
          <w:b/>
        </w:rPr>
        <w:t xml:space="preserve">diversification</w:t>
      </w:r>
      <w:r>
        <w:t xml:space="preserve">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flight-to-quality</w:t>
      </w:r>
      <w:r>
        <w:t xml:space="preserve"> </w:t>
      </w:r>
      <w:r>
        <w:t xml:space="preserve">functions —</w:t>
      </w:r>
      <w:r>
        <w:t xml:space="preserve"> </w:t>
      </w:r>
      <w:r>
        <w:t xml:space="preserve">which is exactly why replacement raises return while worsening tail loss and 2020-type crash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Cs/>
          <w:b/>
        </w:rPr>
        <w:t xml:space="preserve">Practical recommendation.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Favour partial over wholesale replacement.</w:t>
      </w:r>
      <w:r>
        <w:t xml:space="preserve"> </w:t>
      </w:r>
      <w:r>
        <w:t xml:space="preserve">Under the category-level specification the Sharpe</w:t>
      </w:r>
      <w:r>
        <w:t xml:space="preserve"> </w:t>
      </w:r>
      <w:r>
        <w:t xml:space="preserve">is essentially</w:t>
      </w:r>
      <w:r>
        <w:t xml:space="preserve"> </w:t>
      </w:r>
      <w:r>
        <w:rPr>
          <w:bCs/>
          <w:b/>
        </w:rPr>
        <w:t xml:space="preserve">flat (~0.48) from AP5 through ~50% replacement</w:t>
      </w:r>
      <w:r>
        <w:t xml:space="preserve"> </w:t>
      </w:r>
      <w:r>
        <w:t xml:space="preserve">and then declines —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 </w:t>
      </w:r>
      <w:r>
        <w:t xml:space="preserve">and no level statistically distinguishable from AP5 on</w:t>
      </w:r>
      <w:r>
        <w:t xml:space="preserve"> </w:t>
      </w:r>
      <w:r>
        <w:t xml:space="preserve">risk-adjusted return. Low-to-moderate replacement is therefore a defensible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that</w:t>
      </w:r>
      <w:r>
        <w:t xml:space="preserve"> </w:t>
      </w:r>
      <w:r>
        <w:t xml:space="preserve">adds return-and-risk at roughly constant Sharpe,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unique optimum. If the goal is unchanged risk-adjusted performance with more return (and the</w:t>
      </w:r>
      <w:r>
        <w:t xml:space="preserve"> </w:t>
      </w:r>
      <w:r>
        <w:t xml:space="preserve">investor accepts the deeper tail loss), a low replacement fraction is the honest sweet spot;</w:t>
      </w:r>
      <w:r>
        <w:t xml:space="preserve"> </w:t>
      </w:r>
      <w:r>
        <w:t xml:space="preserve">if the goal is to</w:t>
      </w:r>
      <w:r>
        <w:t xml:space="preserve"> </w:t>
      </w:r>
      <w:r>
        <w:rPr>
          <w:iCs/>
          <w:i/>
        </w:rPr>
        <w:t xml:space="preserve">improve</w:t>
      </w:r>
      <w:r>
        <w:t xml:space="preserve"> </w:t>
      </w:r>
      <w:r>
        <w:t xml:space="preserve">Sharpe, the evidence supports</w:t>
      </w:r>
      <w:r>
        <w:t xml:space="preserve"> </w:t>
      </w:r>
      <w:r>
        <w:rPr>
          <w:bCs/>
          <w:b/>
        </w:rPr>
        <w:t xml:space="preserve">no replacement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Full replacement is not supported by the evidence</w:t>
      </w:r>
      <w:r>
        <w:t xml:space="preserve">: it materially increases tail loss</w:t>
      </w:r>
      <w:r>
        <w:t xml:space="preserve"> </w:t>
      </w:r>
      <w:r>
        <w:t xml:space="preserve">(CVaR worse with ≈100% bootstrap probability) and deepens drawdown, without delivering a</w:t>
      </w:r>
      <w:r>
        <w:t xml:space="preserve"> </w:t>
      </w:r>
      <w:r>
        <w:t xml:space="preserve">reliable improvement in risk-adjusted performance, and it removes 2020-type protection.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3"/>
        </w:numPr>
        <w:pStyle w:val="Compact"/>
      </w:pPr>
      <w:r>
        <w:t xml:space="preserve">Instrument selection matters (§8), but should be validated out-of-sample before use.</w:t>
      </w:r>
    </w:p>
    <w:p>
      <w:pPr>
        <w:pStyle w:val="FirstParagraph"/>
      </w:pPr>
      <w:r>
        <w:rPr>
          <w:bCs/>
          <w:b/>
        </w:rPr>
        <w:t xml:space="preserve">Framing.</w:t>
      </w:r>
      <w:r>
        <w:t xml:space="preserve"> </w:t>
      </w:r>
      <w:r>
        <w:t xml:space="preserve">The monotone chain the data show —</w:t>
      </w:r>
      <w:r>
        <w:t xml:space="preserve"> </w:t>
      </w:r>
      <w:r>
        <w:rPr>
          <w:iCs/>
          <w:i/>
        </w:rPr>
        <w:t xml:space="preserve">more replacement → more return → more volatility</w:t>
      </w:r>
      <w:r>
        <w:rPr>
          <w:iCs/>
          <w:i/>
        </w:rPr>
        <w:t xml:space="preserve"> </w:t>
      </w:r>
      <w:r>
        <w:rPr>
          <w:iCs/>
          <w:i/>
        </w:rPr>
        <w:t xml:space="preserve">→ more tail loss, with no reliable Sharpe gain</w:t>
      </w:r>
      <w:r>
        <w:t xml:space="preserve"> </w:t>
      </w:r>
      <w:r>
        <w:t xml:space="preserve">— is not the signature of discovering a superior</w:t>
      </w:r>
      <w:r>
        <w:t xml:space="preserve"> </w:t>
      </w:r>
      <w:r>
        <w:t xml:space="preserve">defensive asset class; it is the signature of</w:t>
      </w:r>
      <w:r>
        <w:t xml:space="preserve"> </w:t>
      </w:r>
      <w:r>
        <w:rPr>
          <w:bCs/>
          <w:b/>
        </w:rPr>
        <w:t xml:space="preserve">spending more of the portfolio's risk budget</w:t>
      </w:r>
      <w:r>
        <w:t xml:space="preserve">.</w:t>
      </w:r>
      <w:r>
        <w:t xml:space="preserve"> </w:t>
      </w:r>
      <w:r>
        <w:t xml:space="preserve">Bond replacement should therefore be interpreted as a</w:t>
      </w:r>
      <w:r>
        <w:t xml:space="preserve"> </w:t>
      </w:r>
      <w:r>
        <w:rPr>
          <w:bCs/>
          <w:b/>
        </w:rPr>
        <w:t xml:space="preserve">strategic reallocation of defensive risk</w:t>
      </w:r>
      <w:r>
        <w:rPr>
          <w:bCs/>
          <w:b/>
        </w:rPr>
        <w:t xml:space="preserve"> </w:t>
      </w:r>
      <w:r>
        <w:rPr>
          <w:bCs/>
          <w:b/>
        </w:rPr>
        <w:t xml:space="preserve">rather than as a search for a one-for-one bond substitute</w:t>
      </w:r>
      <w:r>
        <w:t xml:space="preserve">: the decision is how much crash- and</w:t>
      </w:r>
      <w:r>
        <w:t xml:space="preserve"> </w:t>
      </w:r>
      <w:r>
        <w:t xml:space="preserve">duration-protection the investor is willing to trade for carry and inflation exposure, not</w:t>
      </w:r>
      <w:r>
        <w:t xml:space="preserve"> </w:t>
      </w:r>
      <w:r>
        <w:t xml:space="preserve">whether some alternative "beats" bonds outright.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Market-investable ETF/fund proxies (not the exact VZ funds, and not all directly Swiss-retail</w:t>
      </w:r>
      <w:r>
        <w:t xml:space="preserve"> </w:t>
      </w:r>
      <w:r>
        <w:t xml:space="preserve">accessible, §5); monthly frequency understates intra-month drawdowns and cannot reproduce VZ's</w:t>
      </w:r>
      <w:r>
        <w:t xml:space="preserve"> </w:t>
      </w:r>
      <w:r>
        <w:t xml:space="preserve">intra-month monitoring; foreign-equity CHF total return is a USD-price + FX proxy (a plausible,</w:t>
      </w:r>
      <w:r>
        <w:t xml:space="preserve"> </w:t>
      </w:r>
      <w:r>
        <w:t xml:space="preserve">undecomposed contributor to the validation residual); the CHF hedge and cash are policy-rate</w:t>
      </w:r>
      <w:r>
        <w:t xml:space="preserve"> </w:t>
      </w:r>
      <w:r>
        <w:t xml:space="preserve">approximations (accrued on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month-end rate to avoid intra-month look-ahead; a</w:t>
      </w:r>
      <w:r>
        <w:t xml:space="preserve"> </w:t>
      </w:r>
      <w:r>
        <w:t xml:space="preserve">SARON/forward-points refinement is noted); the validation assumes constant within-category index</w:t>
      </w:r>
      <w:r>
        <w:t xml:space="preserve"> </w:t>
      </w:r>
      <w:r>
        <w:t xml:space="preserve">proportions; the short world-bond series is spliced pre-2010; the 2008–09 GFC and short R4</w:t>
      </w:r>
      <w:r>
        <w:t xml:space="preserve"> </w:t>
      </w:r>
      <w:r>
        <w:t xml:space="preserve">window materially affect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statistics; a single historical path (the bootstrap</w:t>
      </w:r>
      <w:r>
        <w:t xml:space="preserve"> </w:t>
      </w:r>
      <w:r>
        <w:t xml:space="preserve">addresses sampling, not model, uncertainty). Regime inference from four buckets is descriptive,</w:t>
      </w:r>
      <w:r>
        <w:t xml:space="preserve"> </w:t>
      </w:r>
      <w:r>
        <w:t xml:space="preserve">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</w:t>
      </w:r>
      <w:r>
        <w:t xml:space="preserve"> </w:t>
      </w:r>
      <w:r>
        <w:rPr>
          <w:bCs/>
          <w:b/>
        </w:rPr>
        <w:t xml:space="preserve">The literature review,</w:t>
      </w:r>
      <w:r>
        <w:rPr>
          <w:bCs/>
          <w:b/>
        </w:rPr>
        <w:t xml:space="preserve"> </w:t>
      </w:r>
      <w:r>
        <w:rPr>
          <w:bCs/>
          <w:b/>
        </w:rPr>
        <w:t xml:space="preserve">theoretical framework and references are the author's to write</w:t>
      </w:r>
      <w:r>
        <w:t xml:space="preserve"> </w:t>
      </w:r>
      <w:r>
        <w:t xml:space="preserve">— this is the empirical</w:t>
      </w:r>
      <w:r>
        <w:t xml:space="preserve"> </w:t>
      </w:r>
      <w:r>
        <w:t xml:space="preserve">package.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2026-08-17T06:17:35Z</dcterms:created>
  <dcterms:modified xsi:type="dcterms:W3CDTF">2026-08-17T06:17:35Z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