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aux obligations dans un portefeuille suisse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b3d2649a6eb80423add5a3824dddc947781e397"/>
    <w:p>
      <w:pPr>
        <w:pStyle w:val="Heading1"/>
      </w:pPr>
      <w:r>
        <w:t xml:space="preserve">Alternatives aux obligations dans un portefeuille suisse</w:t>
      </w:r>
    </w:p>
    <w:bookmarkStart w:id="20" w:name="Xfa3b8069fc7a7173a39a8dbf32ce17862ce3578"/>
    <w:p>
      <w:pPr>
        <w:pStyle w:val="Heading3"/>
      </w:pPr>
      <w:r>
        <w:t xml:space="preserve">Stratégies de diversification pour un portefeuille en CHF — mandat VZ AP5 · mensuel, net de frais · février 2008 – juin 2026</w:t>
      </w:r>
    </w:p>
    <w:p>
      <w:pPr>
        <w:pStyle w:val="FirstParagraph"/>
      </w:pPr>
      <w:r>
        <w:rPr>
          <w:iCs/>
          <w:i/>
        </w:rPr>
        <w:t xml:space="preserve">Version principale de la thèse empirique. Elle reprend la structure claire du premier document</w:t>
      </w:r>
      <w:r>
        <w:rPr>
          <w:iCs/>
          <w:i/>
        </w:rPr>
        <w:t xml:space="preserve"> </w:t>
      </w:r>
      <w:r>
        <w:rPr>
          <w:iCs/>
          <w:i/>
        </w:rPr>
        <w:t xml:space="preserve">de travail (analyse candidat par candidat, tableau de comparaison, matrice de stress, réallocation</w:t>
      </w:r>
      <w:r>
        <w:rPr>
          <w:iCs/>
          <w:i/>
        </w:rPr>
        <w:t xml:space="preserve"> </w:t>
      </w:r>
      <w:r>
        <w:rPr>
          <w:iCs/>
          <w:i/>
        </w:rPr>
        <w:t xml:space="preserve">proposée), mais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tous les chiffres qualitatifs d'origine sont remplacés par les résultats réels</w:t>
      </w:r>
      <w:r>
        <w:rPr>
          <w:iCs/>
          <w:i/>
        </w:rPr>
        <w:t xml:space="preserve"> </w:t>
      </w:r>
      <w:r>
        <w:rPr>
          <w:iCs/>
          <w:i/>
        </w:rPr>
        <w:t xml:space="preserve">calculés sur données Bloomberg 2008–2026 (</w:t>
      </w:r>
      <w:r>
        <w:rPr>
          <w:rStyle w:val="VerbatimChar"/>
          <w:iCs/>
          <w:i/>
        </w:rPr>
        <w:t xml:space="preserve">analysis/results_manifest.json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analysis/*.csv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On dit « obligations » plutôt que « poche obligataire ».</w:t>
      </w:r>
    </w:p>
    <w:p>
      <w:r>
        <w:pict>
          <v:rect style="width:0;height:1.5pt" o:hralign="center" o:hrstd="t" o:hr="t"/>
        </w:pict>
      </w:r>
    </w:p>
    <w:bookmarkEnd w:id="20"/>
    <w:bookmarkStart w:id="23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Un portefeuille équilibré en CHF (VZ</w:t>
      </w:r>
      <w:r>
        <w:t xml:space="preserve"> </w:t>
      </w:r>
      <w:r>
        <w:rPr>
          <w:bCs/>
          <w:b/>
        </w:rPr>
        <w:t xml:space="preserve">Anlageprofil 5</w:t>
      </w:r>
      <w:r>
        <w:t xml:space="preserve">) détient</w:t>
      </w:r>
      <w:r>
        <w:t xml:space="preserve"> </w:t>
      </w:r>
      <w:r>
        <w:rPr>
          <w:bCs/>
          <w:b/>
        </w:rPr>
        <w:t xml:space="preserve">42 % en obligations</w:t>
      </w:r>
      <w:r>
        <w:t xml:space="preserve"> </w:t>
      </w:r>
      <w:r>
        <w:t xml:space="preserve">(16,8 % suisses + 25,2 % mondiales) — le plus gros bloc du portefeuille. En régime de taux bas ou</w:t>
      </w:r>
      <w:r>
        <w:t xml:space="preserve"> </w:t>
      </w:r>
      <w:r>
        <w:t xml:space="preserve">négatifs, ces obligations rapportent peu, et lorsque les taux</w:t>
      </w:r>
      <w:r>
        <w:t xml:space="preserve"> </w:t>
      </w:r>
      <w:r>
        <w:rPr>
          <w:bCs/>
          <w:b/>
        </w:rPr>
        <w:t xml:space="preserve">montent</w:t>
      </w:r>
      <w:r>
        <w:t xml:space="preserve"> </w:t>
      </w:r>
      <w:r>
        <w:t xml:space="preserve">(2022), elles perdent.</w:t>
      </w:r>
      <w:r>
        <w:t xml:space="preserve"> </w:t>
      </w:r>
      <w:r>
        <w:t xml:space="preserve">La thèse se demande :</w:t>
      </w:r>
      <w:r>
        <w:t xml:space="preserve"> </w:t>
      </w:r>
      <w:r>
        <w:rPr>
          <w:iCs/>
          <w:i/>
        </w:rPr>
        <w:t xml:space="preserve">peut-on remplacer une partie des obligations par d'autres actifs</w:t>
      </w:r>
      <w:r>
        <w:rPr>
          <w:iCs/>
          <w:i/>
        </w:rPr>
        <w:t xml:space="preserve"> </w:t>
      </w:r>
      <w:r>
        <w:rPr>
          <w:iCs/>
          <w:i/>
        </w:rPr>
        <w:t xml:space="preserve">investissables, et à quel prix en risque ?</w:t>
      </w:r>
    </w:p>
    <w:p>
      <w:pPr>
        <w:pStyle w:val="BodyText"/>
      </w:pPr>
      <w:r>
        <w:t xml:space="preserve">Six alternatives investissables, avec un historique complet depuis 2008, sont évaluées :</w:t>
      </w:r>
      <w:r>
        <w:t xml:space="preserve"> </w:t>
      </w:r>
      <w:r>
        <w:rPr>
          <w:bCs/>
          <w:b/>
        </w:rPr>
        <w:t xml:space="preserve">or,</w:t>
      </w:r>
      <w:r>
        <w:rPr>
          <w:bCs/>
          <w:b/>
        </w:rPr>
        <w:t xml:space="preserve"> </w:t>
      </w:r>
      <w:r>
        <w:rPr>
          <w:bCs/>
          <w:b/>
        </w:rPr>
        <w:t xml:space="preserve">matières premières, infrastructures, managed futures (CTA), obligations à haut rendement (HY),</w:t>
      </w:r>
      <w:r>
        <w:rPr>
          <w:bCs/>
          <w:b/>
        </w:rPr>
        <w:t xml:space="preserve"> </w:t>
      </w:r>
      <w:r>
        <w:rPr>
          <w:bCs/>
          <w:b/>
        </w:rPr>
        <w:t xml:space="preserve">dette émergente (EM)</w:t>
      </w:r>
      <w:r>
        <w:t xml:space="preserve">. Chacune est d'abord testée</w:t>
      </w:r>
      <w:r>
        <w:t xml:space="preserve"> </w:t>
      </w:r>
      <w:r>
        <w:rPr>
          <w:bCs/>
          <w:b/>
        </w:rPr>
        <w:t xml:space="preserve">seule</w:t>
      </w:r>
      <w:r>
        <w:t xml:space="preserve">, puis en</w:t>
      </w:r>
      <w:r>
        <w:t xml:space="preserve"> </w:t>
      </w:r>
      <w:r>
        <w:rPr>
          <w:bCs/>
          <w:b/>
        </w:rPr>
        <w:t xml:space="preserve">mélange</w:t>
      </w:r>
      <w:r>
        <w:t xml:space="preserve">, puis via une</w:t>
      </w:r>
      <w:r>
        <w:t xml:space="preserve"> </w:t>
      </w:r>
      <w:r>
        <w:rPr>
          <w:bCs/>
          <w:b/>
        </w:rPr>
        <w:t xml:space="preserve">allocation optimisée</w:t>
      </w:r>
      <w:r>
        <w:t xml:space="preserve">.</w:t>
      </w:r>
    </w:p>
    <w:bookmarkStart w:id="21" w:name="conclusions-clés"/>
    <w:p>
      <w:pPr>
        <w:pStyle w:val="Heading3"/>
      </w:pPr>
      <w:r>
        <w:t xml:space="preserve">Conclusions clés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Seule l'or</w:t>
      </w:r>
      <w:r>
        <w:t xml:space="preserve">, prise isolément, améliore le rendement ajusté au risque par rapport à l'AP5</w:t>
      </w:r>
      <w:r>
        <w:t xml:space="preserve"> </w:t>
      </w:r>
      <w:r>
        <w:t xml:space="preserve">(Sharpe</w:t>
      </w:r>
      <w:r>
        <w:t xml:space="preserve"> </w:t>
      </w:r>
      <w:r>
        <w:rPr>
          <w:bCs/>
          <w:b/>
        </w:rPr>
        <w:t xml:space="preserve">0,60</w:t>
      </w:r>
      <w:r>
        <w:t xml:space="preserve"> </w:t>
      </w:r>
      <w:r>
        <w:t xml:space="preserve">contre 0,48), et sans aggraver la pire perte.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 matières premières et les managed futures ont perdu de l'argent</w:t>
      </w:r>
      <w:r>
        <w:t xml:space="preserve"> </w:t>
      </w:r>
      <w:r>
        <w:t xml:space="preserve">sur 2008–2026 : ils</w:t>
      </w:r>
      <w:r>
        <w:t xml:space="preserve"> </w:t>
      </w:r>
      <w:r>
        <w:t xml:space="preserve">dégradent tout portefeuille qui les contient.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équipondéré</w:t>
      </w:r>
      <w:r>
        <w:t xml:space="preserve"> </w:t>
      </w:r>
      <w:r>
        <w:t xml:space="preserve">des six alternatives fait</w:t>
      </w:r>
      <w:r>
        <w:t xml:space="preserve"> </w:t>
      </w:r>
      <w:r>
        <w:rPr>
          <w:bCs/>
          <w:b/>
        </w:rPr>
        <w:t xml:space="preserve">moins bien</w:t>
      </w:r>
      <w:r>
        <w:t xml:space="preserve"> </w:t>
      </w:r>
      <w:r>
        <w:t xml:space="preserve">que garder les obligations</w:t>
      </w:r>
      <w:r>
        <w:t xml:space="preserve"> </w:t>
      </w:r>
      <w:r>
        <w:t xml:space="preserve">(Sharpe 0,46), justement parce qu'il inclut ces deux perdants.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trié</w:t>
      </w:r>
      <w:r>
        <w:t xml:space="preserve"> </w:t>
      </w:r>
      <w:r>
        <w:t xml:space="preserve">(HY 35 / EM 30 / or 20 / infra 15), qui écarte les perdants, remonte à</w:t>
      </w:r>
      <w:r>
        <w:t xml:space="preserve"> </w:t>
      </w:r>
      <w:r>
        <w:t xml:space="preserve">Sharpe 0,52 — mais c'est un résultat</w:t>
      </w:r>
      <w:r>
        <w:t xml:space="preserve"> </w:t>
      </w:r>
      <w:r>
        <w:rPr>
          <w:iCs/>
          <w:i/>
        </w:rPr>
        <w:t xml:space="preserve">a posteriori</w:t>
      </w:r>
      <w:r>
        <w:t xml:space="preserve">, à valider hors échantillon.</w:t>
      </w:r>
    </w:p>
    <w:p>
      <w:pPr>
        <w:numPr>
          <w:ilvl w:val="0"/>
          <w:numId w:val="1001"/>
        </w:numPr>
        <w:pStyle w:val="Compact"/>
      </w:pPr>
      <w:r>
        <w:t xml:space="preserve">Même un</w:t>
      </w:r>
      <w:r>
        <w:t xml:space="preserve"> </w:t>
      </w:r>
      <w:r>
        <w:rPr>
          <w:bCs/>
          <w:b/>
        </w:rPr>
        <w:t xml:space="preserve">optimiseur</w:t>
      </w:r>
      <w:r>
        <w:t xml:space="preserve"> </w:t>
      </w:r>
      <w:r>
        <w:t xml:space="preserve">libre de tout enlever</w:t>
      </w:r>
      <w:r>
        <w:t xml:space="preserve"> </w:t>
      </w:r>
      <w:r>
        <w:rPr>
          <w:bCs/>
          <w:b/>
        </w:rPr>
        <w:t xml:space="preserve">garde la plupart des obligations</w:t>
      </w:r>
      <w:r>
        <w:t xml:space="preserve"> </w:t>
      </w:r>
      <w:r>
        <w:t xml:space="preserve">et n'ajoute</w:t>
      </w:r>
      <w:r>
        <w:t xml:space="preserve"> </w:t>
      </w:r>
      <w:r>
        <w:t xml:space="preserve">qu'un peu d'or.</w:t>
      </w:r>
    </w:p>
    <w:bookmarkEnd w:id="21"/>
    <w:bookmarkStart w:id="22" w:name="recommandation"/>
    <w:p>
      <w:pPr>
        <w:pStyle w:val="Heading3"/>
      </w:pPr>
      <w:r>
        <w:t xml:space="preserve">Recommandation</w:t>
      </w:r>
    </w:p>
    <w:p>
      <w:pPr>
        <w:pStyle w:val="FirstParagraph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Le remplacement augmente le rendement mais aussi</w:t>
      </w:r>
      <w:r>
        <w:t xml:space="preserve"> </w:t>
      </w:r>
      <w:r>
        <w:t xml:space="preserve">la volatilité et surtout les</w:t>
      </w:r>
      <w:r>
        <w:t xml:space="preserve"> </w:t>
      </w:r>
      <w:r>
        <w:rPr>
          <w:bCs/>
          <w:b/>
        </w:rPr>
        <w:t xml:space="preserve">pertes extrêmes</w:t>
      </w:r>
      <w:r>
        <w:t xml:space="preserve">, sans amélioration fiable du rendement ajusté au</w:t>
      </w:r>
      <w:r>
        <w:t xml:space="preserve"> </w:t>
      </w:r>
      <w:r>
        <w:t xml:space="preserve">risque. Le seul ajout historiquement utile est</w:t>
      </w:r>
      <w:r>
        <w:t xml:space="preserve"> </w:t>
      </w:r>
      <w:r>
        <w:rPr>
          <w:bCs/>
          <w:b/>
        </w:rPr>
        <w:t xml:space="preserve">un peu d'or, à côté des obligations, pas à leur</w:t>
      </w:r>
      <w:r>
        <w:rPr>
          <w:bCs/>
          <w:b/>
        </w:rPr>
        <w:t xml:space="preserve"> </w:t>
      </w:r>
      <w:r>
        <w:rPr>
          <w:bCs/>
          <w:b/>
        </w:rPr>
        <w:t xml:space="preserve">place</w:t>
      </w:r>
      <w:r>
        <w:t xml:space="preserve"> </w:t>
      </w:r>
      <w:r>
        <w:t xml:space="preserve">— et il s'agit d'un pari concentré sur un échantillon favorable, à stresser avant tout</w:t>
      </w:r>
      <w:r>
        <w:t xml:space="preserve"> </w:t>
      </w:r>
      <w:r>
        <w:t xml:space="preserve">usage réel. Le remplacement doit se comprendre comme un</w:t>
      </w:r>
      <w:r>
        <w:t xml:space="preserve"> </w:t>
      </w:r>
      <w:r>
        <w:rPr>
          <w:bCs/>
          <w:b/>
        </w:rPr>
        <w:t xml:space="preserve">choix de budget de risque</w:t>
      </w:r>
      <w:r>
        <w:t xml:space="preserve">, non comme la</w:t>
      </w:r>
      <w:r>
        <w:t xml:space="preserve"> </w:t>
      </w:r>
      <w:r>
        <w:t xml:space="preserve">découverte d'un actif meilleur que les obligations.</w:t>
      </w:r>
    </w:p>
    <w:bookmarkEnd w:id="22"/>
    <w:bookmarkEnd w:id="23"/>
    <w:bookmarkStart w:id="24" w:name="i-structure-du-portefeuille"/>
    <w:p>
      <w:pPr>
        <w:pStyle w:val="Heading2"/>
      </w:pPr>
      <w:r>
        <w:t xml:space="preserve">I. Structure du portefeuille</w:t>
      </w:r>
    </w:p>
    <w:p>
      <w:pPr>
        <w:pStyle w:val="FirstParagraph"/>
      </w:pPr>
      <w:r>
        <w:t xml:space="preserve">Le mandat AP5 (profil 5 de VZ) est réparti ainsi :</w:t>
      </w:r>
      <w:r>
        <w:t xml:space="preserve"> </w:t>
      </w:r>
      <w:r>
        <w:rPr>
          <w:bCs/>
          <w:b/>
        </w:rPr>
        <w:t xml:space="preserve">25 % actions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25 % actions</w:t>
      </w:r>
      <w:r>
        <w:rPr>
          <w:bCs/>
          <w:b/>
        </w:rPr>
        <w:t xml:space="preserve"> </w:t>
      </w:r>
      <w:r>
        <w:rPr>
          <w:bCs/>
          <w:b/>
        </w:rPr>
        <w:t xml:space="preserve">mondiales</w:t>
      </w:r>
      <w:r>
        <w:t xml:space="preserve">,</w:t>
      </w:r>
      <w:r>
        <w:t xml:space="preserve"> </w:t>
      </w:r>
      <w:r>
        <w:rPr>
          <w:bCs/>
          <w:b/>
        </w:rPr>
        <w:t xml:space="preserve">16,8 % obligations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25,2 % obligations mondiales (couvertes CHF)</w:t>
      </w:r>
      <w:r>
        <w:t xml:space="preserve">,</w:t>
      </w:r>
      <w:r>
        <w:t xml:space="preserve"> </w:t>
      </w:r>
      <w:r>
        <w:rPr>
          <w:bCs/>
          <w:b/>
        </w:rPr>
        <w:t xml:space="preserve">5 % immobilier</w:t>
      </w:r>
      <w:r>
        <w:t xml:space="preserve">,</w:t>
      </w:r>
      <w:r>
        <w:t xml:space="preserve"> </w:t>
      </w:r>
      <w:r>
        <w:rPr>
          <w:bCs/>
          <w:b/>
        </w:rPr>
        <w:t xml:space="preserve">3 % liquidités</w:t>
      </w:r>
      <w:r>
        <w:t xml:space="preserve">. Les obligations à traiter représentent</w:t>
      </w:r>
      <w:r>
        <w:t xml:space="preserve"> </w:t>
      </w:r>
      <w:r>
        <w:rPr>
          <w:bCs/>
          <w:b/>
        </w:rPr>
        <w:t xml:space="preserve">42 %</w:t>
      </w:r>
      <w:r>
        <w:t xml:space="preserve"> </w:t>
      </w:r>
      <w:r>
        <w:t xml:space="preserve">du total</w:t>
      </w:r>
      <w:r>
        <w:t xml:space="preserve"> </w:t>
      </w:r>
      <w:r>
        <w:t xml:space="preserve">— le plus gros bloc, et la partie la plus touchée par les régimes de taux bas suisses. Le cœur</w:t>
      </w:r>
      <w:r>
        <w:t xml:space="preserve"> </w:t>
      </w:r>
      <w:r>
        <w:t xml:space="preserve">actions / immobilier / liquidités (58 %) reste</w:t>
      </w:r>
      <w:r>
        <w:t xml:space="preserve"> </w:t>
      </w:r>
      <w:r>
        <w:rPr>
          <w:bCs/>
          <w:b/>
        </w:rPr>
        <w:t xml:space="preserve">inchangé</w:t>
      </w:r>
      <w:r>
        <w:t xml:space="preserve"> </w:t>
      </w:r>
      <w:r>
        <w:t xml:space="preserve">; seul le bloc de 42 % obligations est</w:t>
      </w:r>
      <w:r>
        <w:t xml:space="preserve"> </w:t>
      </w:r>
      <w:r>
        <w:t xml:space="preserve">remplacé.</w:t>
      </w:r>
    </w:p>
    <w:bookmarkEnd w:id="24"/>
    <w:bookmarkStart w:id="25" w:name="ii-les-régimes-de-taux-depuis-2008"/>
    <w:p>
      <w:pPr>
        <w:pStyle w:val="Heading2"/>
      </w:pPr>
      <w:r>
        <w:t xml:space="preserve">II. Les régimes de taux depuis 2008</w:t>
      </w:r>
    </w:p>
    <w:p>
      <w:pPr>
        <w:pStyle w:val="FirstParagraph"/>
      </w:pPr>
      <w:r>
        <w:t xml:space="preserve">Plutôt qu'un seuil « taux bas » arbitraire, on découpe la période en</w:t>
      </w:r>
      <w:r>
        <w:t xml:space="preserve"> </w:t>
      </w:r>
      <w:r>
        <w:rPr>
          <w:bCs/>
          <w:b/>
        </w:rPr>
        <w:t xml:space="preserve">quatre régimes de la BNS</w:t>
      </w:r>
      <w:r>
        <w:t xml:space="preserve">,</w:t>
      </w:r>
      <w:r>
        <w:t xml:space="preserve"> </w:t>
      </w:r>
      <w:r>
        <w:t xml:space="preserve">ce qui permet de lire directement le comportement des obligations dans chaque environnement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directeur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+2,75 % → −0,25 %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bas positifs, baisse post-crise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négatifs (NIRP)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2022–2024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−0,25 % → +1,75 %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hausses rapides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+1,50 % → 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assouplissement</w:t>
            </w:r>
          </w:p>
        </w:tc>
      </w:tr>
    </w:tbl>
    <w:p>
      <w:pPr>
        <w:pStyle w:val="BodyText"/>
      </w:pPr>
      <w:r>
        <w:t xml:space="preserve">Comportement des obligations par régime (rendement annualisé) : fortes en R1 (+4 %/an), quasi</w:t>
      </w:r>
      <w:r>
        <w:t xml:space="preserve"> </w:t>
      </w:r>
      <w:r>
        <w:t xml:space="preserve">nulles en R2, et en R3 les obligations</w:t>
      </w:r>
      <w:r>
        <w:t xml:space="preserve"> </w:t>
      </w:r>
      <w:r>
        <w:rPr>
          <w:bCs/>
          <w:b/>
        </w:rPr>
        <w:t xml:space="preserve">mondiales larges perdent −2,9 %/an</w:t>
      </w:r>
      <w:r>
        <w:t xml:space="preserve"> </w:t>
      </w:r>
      <w:r>
        <w:t xml:space="preserve">tandis que les</w:t>
      </w:r>
      <w:r>
        <w:t xml:space="preserve"> </w:t>
      </w:r>
      <w:r>
        <w:rPr>
          <w:bCs/>
          <w:b/>
        </w:rPr>
        <w:t xml:space="preserve">suisses restent positives</w:t>
      </w:r>
      <w:r>
        <w:t xml:space="preserve"> </w:t>
      </w:r>
      <w:r>
        <w:t xml:space="preserve">(+1,6 %).</w:t>
      </w:r>
      <w:r>
        <w:t xml:space="preserve"> </w:t>
      </w:r>
      <w:r>
        <w:rPr>
          <w:iCs/>
          <w:i/>
        </w:rPr>
        <w:t xml:space="preserve">Les obligations ne « paient » que dans certains régimes</w:t>
      </w:r>
      <w:r>
        <w:t xml:space="preserve"> </w:t>
      </w:r>
      <w:r>
        <w:t xml:space="preserve">—</w:t>
      </w:r>
      <w:r>
        <w:t xml:space="preserve"> </w:t>
      </w:r>
      <w:r>
        <w:t xml:space="preserve">c'est le cœur du problème.</w:t>
      </w:r>
    </w:p>
    <w:bookmarkEnd w:id="25"/>
    <w:bookmarkStart w:id="26" w:name="iii-les-fonctions-des-obligations"/>
    <w:p>
      <w:pPr>
        <w:pStyle w:val="Heading2"/>
      </w:pPr>
      <w:r>
        <w:t xml:space="preserve">III. Les fonctions des obligations</w:t>
      </w:r>
    </w:p>
    <w:p>
      <w:pPr>
        <w:pStyle w:val="FirstParagraph"/>
      </w:pPr>
      <w:r>
        <w:t xml:space="preserve">Avant de chercher des remplaçants, il faut fixer ce que les obligations</w:t>
      </w:r>
      <w:r>
        <w:t xml:space="preserve"> </w:t>
      </w:r>
      <w:r>
        <w:rPr>
          <w:bCs/>
          <w:b/>
        </w:rPr>
        <w:t xml:space="preserve">font</w:t>
      </w:r>
      <w:r>
        <w:t xml:space="preserve"> </w:t>
      </w:r>
      <w:r>
        <w:t xml:space="preserve">dans ce</w:t>
      </w:r>
      <w:r>
        <w:t xml:space="preserve"> </w:t>
      </w:r>
      <w:r>
        <w:t xml:space="preserve">portefeuille. Tout remplacement doit en préserver le plus possible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F1 — Refuge / diversification.</w:t>
      </w:r>
      <w:r>
        <w:t xml:space="preserve"> </w:t>
      </w:r>
      <w:r>
        <w:t xml:space="preserve">Monter quand les actions chutent (fuite vers la qualité).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F2 — Revenu / portage.</w:t>
      </w:r>
      <w:r>
        <w:t xml:space="preserve"> </w:t>
      </w:r>
      <w:r>
        <w:t xml:space="preserve">Verser un coupon régulier.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F3 — Amortisseur de volatilité.</w:t>
      </w:r>
      <w:r>
        <w:t xml:space="preserve"> </w:t>
      </w:r>
      <w:r>
        <w:t xml:space="preserve">Faible volatilité qui stabilise le portefeuille.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F4 — Liquidité.</w:t>
      </w:r>
      <w:r>
        <w:t xml:space="preserve"> </w:t>
      </w:r>
      <w:r>
        <w:t xml:space="preserve">Se vendre vite et sans décote.</w:t>
      </w:r>
    </w:p>
    <w:p>
      <w:pPr>
        <w:numPr>
          <w:ilvl w:val="0"/>
          <w:numId w:val="1002"/>
        </w:numPr>
        <w:pStyle w:val="Compact"/>
      </w:pPr>
      <w:r>
        <w:t xml:space="preserve">(</w:t>
      </w:r>
      <w:r>
        <w:rPr>
          <w:bCs/>
          <w:b/>
        </w:rPr>
        <w:t xml:space="preserve">Duration</w:t>
      </w:r>
      <w:r>
        <w:t xml:space="preserve"> </w:t>
      </w:r>
      <w:r>
        <w:t xml:space="preserve">— sensibilité aux taux, qui sous-tend F1 et F3.)</w:t>
      </w:r>
    </w:p>
    <w:p>
      <w:pPr>
        <w:pStyle w:val="FirstParagraph"/>
      </w:pPr>
      <w:r>
        <w:t xml:space="preserve">Aucune alternative ne reproduit les cinq à la fois : c'est la tension que l'analyse mesure. On</w:t>
      </w:r>
      <w:r>
        <w:t xml:space="preserve"> </w:t>
      </w:r>
      <w:r>
        <w:t xml:space="preserve">classe les candidats de</w:t>
      </w:r>
      <w:r>
        <w:t xml:space="preserve"> </w:t>
      </w:r>
      <w:r>
        <w:rPr>
          <w:bCs/>
          <w:b/>
        </w:rPr>
        <w:t xml:space="preserve">plus liquide (meilleur) à moins liquide (pire)</w:t>
      </w:r>
      <w:r>
        <w:t xml:space="preserve">.</w:t>
      </w:r>
    </w:p>
    <w:bookmarkEnd w:id="26"/>
    <w:bookmarkStart w:id="34" w:name="iv-les-candidats-au-remplacement"/>
    <w:p>
      <w:pPr>
        <w:pStyle w:val="Heading2"/>
      </w:pPr>
      <w:r>
        <w:t xml:space="preserve">IV. Les candidats au remplacement</w:t>
      </w:r>
    </w:p>
    <w:p>
      <w:pPr>
        <w:pStyle w:val="FirstParagraph"/>
      </w:pPr>
      <w:r>
        <w:t xml:space="preserve">Pour chaque candidat : (i) ce que c'est, (ii) rendement réel 2008–2026, (iii) ajustement</w:t>
      </w:r>
      <w:r>
        <w:t xml:space="preserve"> </w:t>
      </w:r>
      <w:r>
        <w:t xml:space="preserve">variance-covariance (corrélations aux actions et aux obligations), (iv) ressemblances avec les</w:t>
      </w:r>
      <w:r>
        <w:t xml:space="preserve"> </w:t>
      </w:r>
      <w:r>
        <w:t xml:space="preserve">obligations, (v) différences et risques, (vi) meilleur usage. Sharpe = excès sur le cash CHF ;</w:t>
      </w:r>
      <w:r>
        <w:t xml:space="preserve"> </w:t>
      </w:r>
      <w:r>
        <w:t xml:space="preserve">« seul à 100 % » = Sharpe du portefeuille si l'on remplace</w:t>
      </w:r>
      <w:r>
        <w:t xml:space="preserve"> </w:t>
      </w:r>
      <w:r>
        <w:rPr>
          <w:bCs/>
          <w:b/>
        </w:rPr>
        <w:t xml:space="preserve">toutes</w:t>
      </w:r>
      <w:r>
        <w:t xml:space="preserve"> </w:t>
      </w:r>
      <w:r>
        <w:t xml:space="preserve">les obligations par ce seul</w:t>
      </w:r>
      <w:r>
        <w:t xml:space="preserve"> </w:t>
      </w:r>
      <w:r>
        <w:t xml:space="preserve">actif.</w:t>
      </w:r>
    </w:p>
    <w:bookmarkStart w:id="27" w:name="Xcd75cb1d53fa6dea2240dc0be43e0dd7277b30c"/>
    <w:p>
      <w:pPr>
        <w:pStyle w:val="Heading3"/>
      </w:pPr>
      <w:r>
        <w:t xml:space="preserve">#1 — Or (ETF adossés à l'or physique, part CHF) · liquidité ★★★★★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or physique alloué via ETF suisses (ZKB, UBS, Swisscanto). La Suisse est le</w:t>
      </w:r>
      <w:r>
        <w:t xml:space="preserve"> </w:t>
      </w:r>
      <w:r>
        <w:t xml:space="preserve">hub mondial du raffinage — accès CHF naturel, marché très profond.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+6,1 %/an</w:t>
      </w:r>
      <w:r>
        <w:t xml:space="preserve">, volatilité 16,4 %, pire perte −38 %.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0,60</w:t>
      </w:r>
      <w:r>
        <w:t xml:space="preserve"> </w:t>
      </w:r>
      <w:r>
        <w:t xml:space="preserve">(le meilleur des candidats).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−0,02</w:t>
      </w:r>
      <w:r>
        <w:t xml:space="preserve"> </w:t>
      </w:r>
      <w:r>
        <w:t xml:space="preserve">(diversificateur quasi parfait), aux</w:t>
      </w:r>
      <w:r>
        <w:t xml:space="preserve"> </w:t>
      </w:r>
      <w:r>
        <w:t xml:space="preserve">obligations +0,24.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refuge de crise puissant (2008, 2020) ; bénéficie des taux réels bas, comme</w:t>
      </w:r>
      <w:r>
        <w:t xml:space="preserve"> </w:t>
      </w:r>
      <w:r>
        <w:t xml:space="preserve">les obligations ; aucun risque de crédit (préserve</w:t>
      </w:r>
      <w:r>
        <w:t xml:space="preserve"> </w:t>
      </w:r>
      <w:r>
        <w:rPr>
          <w:bCs/>
          <w:b/>
        </w:rPr>
        <w:t xml:space="preserve">F1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rPr>
          <w:bCs/>
          <w:b/>
        </w:rPr>
        <w:t xml:space="preserve">aucun revenu / portage</w:t>
      </w:r>
      <w:r>
        <w:t xml:space="preserve"> </w:t>
      </w:r>
      <w:r>
        <w:t xml:space="preserve">(échoue</w:t>
      </w:r>
      <w:r>
        <w:t xml:space="preserve"> </w:t>
      </w:r>
      <w:r>
        <w:rPr>
          <w:bCs/>
          <w:b/>
        </w:rPr>
        <w:t xml:space="preserve">F2</w:t>
      </w:r>
      <w:r>
        <w:t xml:space="preserve">) ; volatilité proche des actions</w:t>
      </w:r>
      <w:r>
        <w:t xml:space="preserve"> </w:t>
      </w:r>
      <w:r>
        <w:t xml:space="preserve">(affaiblit</w:t>
      </w:r>
      <w:r>
        <w:t xml:space="preserve"> </w:t>
      </w:r>
      <w:r>
        <w:rPr>
          <w:bCs/>
          <w:b/>
        </w:rPr>
        <w:t xml:space="preserve">F3</w:t>
      </w:r>
      <w:r>
        <w:t xml:space="preserve">) ; pas de duration ; prix spéculatif à court terme.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3–6 % comme</w:t>
      </w:r>
      <w:r>
        <w:t xml:space="preserve"> </w:t>
      </w:r>
      <w:r>
        <w:rPr>
          <w:bCs/>
          <w:b/>
        </w:rPr>
        <w:t xml:space="preserve">couverture de régime</w:t>
      </w:r>
      <w:r>
        <w:t xml:space="preserve">, à côté des obligations — pas un</w:t>
      </w:r>
      <w:r>
        <w:t xml:space="preserve"> </w:t>
      </w:r>
      <w:r>
        <w:t xml:space="preserve">substitut structurel.</w:t>
      </w:r>
    </w:p>
    <w:bookmarkEnd w:id="27"/>
    <w:bookmarkStart w:id="28" w:name="X3b75b46ab3a2d083bdaa0e84c74cab016ac689d"/>
    <w:p>
      <w:pPr>
        <w:pStyle w:val="Heading3"/>
      </w:pPr>
      <w:r>
        <w:t xml:space="preserve">#2 — Obligations à haut rendement (HY, couvert CHF) · liquidité ★★★★★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d'entreprises sous-investment-grade (proxy HYG couvert CHF).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+3,9 %/an</w:t>
      </w:r>
      <w:r>
        <w:t xml:space="preserve">, volatilité 10,3 %, pire perte −29 %.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0,48</w:t>
      </w:r>
      <w:r>
        <w:t xml:space="preserve"> </w:t>
      </w:r>
      <w:r>
        <w:t xml:space="preserve">(≈ AP5).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+0,56</w:t>
      </w:r>
      <w:r>
        <w:t xml:space="preserve"> </w:t>
      </w:r>
      <w:r>
        <w:t xml:space="preserve">(élevée), aux obligations +0,49.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vrai</w:t>
      </w:r>
      <w:r>
        <w:t xml:space="preserve"> </w:t>
      </w:r>
      <w:r>
        <w:rPr>
          <w:bCs/>
          <w:b/>
        </w:rPr>
        <w:t xml:space="preserve">revenu / portage</w:t>
      </w:r>
      <w:r>
        <w:t xml:space="preserve"> </w:t>
      </w:r>
      <w:r>
        <w:t xml:space="preserve">(préserve</w:t>
      </w:r>
      <w:r>
        <w:t xml:space="preserve"> </w:t>
      </w:r>
      <w:r>
        <w:rPr>
          <w:bCs/>
          <w:b/>
        </w:rPr>
        <w:t xml:space="preserve">F2</w:t>
      </w:r>
      <w:r>
        <w:t xml:space="preserve">) ; structure juridiquement</w:t>
      </w:r>
      <w:r>
        <w:t xml:space="preserve"> </w:t>
      </w:r>
      <w:r>
        <w:t xml:space="preserve">obligataire.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se comporte en partie comme des actions (corr 0,56) — mauvais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; pire</w:t>
      </w:r>
      <w:r>
        <w:t xml:space="preserve"> </w:t>
      </w:r>
      <w:r>
        <w:t xml:space="preserve">perte plus profonde que les obligations d'État.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(le</w:t>
      </w:r>
      <w:r>
        <w:t xml:space="preserve"> </w:t>
      </w:r>
      <w:r>
        <w:rPr>
          <w:bCs/>
          <w:b/>
        </w:rPr>
        <w:t xml:space="preserve">portage</w:t>
      </w:r>
      <w:r>
        <w:t xml:space="preserve">), poids important.</w:t>
      </w:r>
    </w:p>
    <w:bookmarkEnd w:id="28"/>
    <w:bookmarkStart w:id="29" w:name="Xde9a7f62cee9f5c1cf8a4d4d3d2a6bf1eef90b5"/>
    <w:p>
      <w:pPr>
        <w:pStyle w:val="Heading3"/>
      </w:pPr>
      <w:r>
        <w:t xml:space="preserve">#3 — Dette émergente (EM, couvert CHF) · liquidité ★★★★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souveraines/corporate de pays émergents (proxy EMB couvert CHF).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+3,3 %/an</w:t>
      </w:r>
      <w:r>
        <w:t xml:space="preserve">, volatilité 11,5 %, pire perte −28 %.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obligations</w:t>
      </w:r>
      <w:r>
        <w:t xml:space="preserve"> </w:t>
      </w:r>
      <w:r>
        <w:rPr>
          <w:bCs/>
          <w:b/>
        </w:rPr>
        <w:t xml:space="preserve">+0,65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le plus « obligataire » des</w:t>
      </w:r>
      <w:r>
        <w:rPr>
          <w:bCs/>
          <w:b/>
        </w:rPr>
        <w:t xml:space="preserve"> </w:t>
      </w:r>
      <w:r>
        <w:rPr>
          <w:bCs/>
          <w:b/>
        </w:rPr>
        <w:t xml:space="preserve">candidats</w:t>
      </w:r>
      <w:r>
        <w:t xml:space="preserve"> </w:t>
      </w:r>
      <w:r>
        <w:t xml:space="preserve">; aux actions +0,39.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/ portage ; profil de duration proche des obligations (le meilleur</w:t>
      </w:r>
      <w:r>
        <w:t xml:space="preserve"> </w:t>
      </w:r>
      <w:r>
        <w:t xml:space="preserve">substitut</w:t>
      </w:r>
      <w:r>
        <w:t xml:space="preserve"> </w:t>
      </w:r>
      <w:r>
        <w:rPr>
          <w:iCs/>
          <w:i/>
        </w:rPr>
        <w:t xml:space="preserve">structurel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risque pays et devise ; pire perte plus profonde ; moins de refuge en crise.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(portage + proximité obligataire).</w:t>
      </w:r>
    </w:p>
    <w:bookmarkEnd w:id="29"/>
    <w:bookmarkStart w:id="30" w:name="Xcdd9966b97880f1bca827b10bfe486e98986924"/>
    <w:p>
      <w:pPr>
        <w:pStyle w:val="Heading3"/>
      </w:pPr>
      <w:r>
        <w:t xml:space="preserve">#4 — Infrastructures cotées (global core, couvert CHF) · liquidité ★★★★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actions d'infrastructures (péages, énergie, utilities ; proxy IGF).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+4,0 %/an</w:t>
      </w:r>
      <w:r>
        <w:t xml:space="preserve">, volatilité 14,8 %, pire perte −45 %.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0,41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+0,72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se comporte comme des actions</w:t>
      </w:r>
      <w:r>
        <w:t xml:space="preserve"> </w:t>
      </w:r>
      <w:r>
        <w:t xml:space="preserve">;</w:t>
      </w:r>
      <w:r>
        <w:t xml:space="preserve"> </w:t>
      </w:r>
      <w:r>
        <w:t xml:space="preserve">aux obligations +0,27.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réel, exposition inflation.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très corrélé aux actions (mauvais</w:t>
      </w:r>
      <w:r>
        <w:t xml:space="preserve"> </w:t>
      </w:r>
      <w:r>
        <w:rPr>
          <w:bCs/>
          <w:b/>
        </w:rPr>
        <w:t xml:space="preserve">F1</w:t>
      </w:r>
      <w:r>
        <w:t xml:space="preserve">) ; pire perte profonde (−45 %).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petit poids pour l'exposition « actifs réels / inflation », pas comme</w:t>
      </w:r>
      <w:r>
        <w:t xml:space="preserve"> </w:t>
      </w:r>
      <w:r>
        <w:t xml:space="preserve">diversificateur.</w:t>
      </w:r>
    </w:p>
    <w:bookmarkEnd w:id="30"/>
    <w:bookmarkStart w:id="31" w:name="X6155500ff531d195571d6bbf35bfc1d4dbc64c5"/>
    <w:p>
      <w:pPr>
        <w:pStyle w:val="Heading3"/>
      </w:pPr>
      <w:r>
        <w:t xml:space="preserve">#5 — Managed futures / trend-following (CTA liquides) · liquidité ★★★★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fonds systématiques suivant les tendances sur tous marchés (proxy RYMFX).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−0,8 %/an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13,8 %, pire perte</w:t>
      </w:r>
      <w:r>
        <w:t xml:space="preserve"> </w:t>
      </w:r>
      <w:r>
        <w:t xml:space="preserve">−47 %.</w:t>
      </w:r>
      <w:r>
        <w:t xml:space="preserve"> </w:t>
      </w:r>
      <w:r>
        <w:rPr>
          <w:bCs/>
          <w:b/>
        </w:rPr>
        <w:t xml:space="preserve">Seul à 100 % : Sharpe 0,32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+0,25, aux obligations −0,18 (décorrélé).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décorrélation ; potentiel de gain en crise prolongée (a aidé en 2022).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 </w:t>
      </w:r>
      <w:r>
        <w:t xml:space="preserve">sur la période ; aucun revenu ; longues périodes de</w:t>
      </w:r>
      <w:r>
        <w:t xml:space="preserve"> </w:t>
      </w:r>
      <w:r>
        <w:t xml:space="preserve">sous-performance.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perd de l'argent en moyenne malgré la décorrélation.</w:t>
      </w:r>
    </w:p>
    <w:bookmarkEnd w:id="31"/>
    <w:bookmarkStart w:id="32" w:name="Xb14310648572432e38b76cd38e57d3555d94d76"/>
    <w:p>
      <w:pPr>
        <w:pStyle w:val="Heading3"/>
      </w:pPr>
      <w:r>
        <w:t xml:space="preserve">#6 — Matières premières (large, non couvert) · liquidité ★★★★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panier diversifié de matières premières (proxy DBC).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−1,6 %/an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18,9 %, pire perte</w:t>
      </w:r>
      <w:r>
        <w:t xml:space="preserve"> </w:t>
      </w:r>
      <w:r>
        <w:rPr>
          <w:bCs/>
          <w:b/>
        </w:rPr>
        <w:t xml:space="preserve">−76 %</w:t>
      </w:r>
      <w:r>
        <w:t xml:space="preserve">.</w:t>
      </w:r>
      <w:r>
        <w:t xml:space="preserve"> </w:t>
      </w:r>
      <w:r>
        <w:rPr>
          <w:bCs/>
          <w:b/>
        </w:rPr>
        <w:t xml:space="preserve">Seul à 100 % : Sharpe 0,24</w:t>
      </w:r>
      <w:r>
        <w:t xml:space="preserve"> </w:t>
      </w:r>
      <w:r>
        <w:t xml:space="preserve">(le pire).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+0,39, aux obligations −0,25.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couverture d'inflation ; faible corrélation aux obligations.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, volatilité extrême, pire perte catastrophique (−76 %) ;</w:t>
      </w:r>
      <w:r>
        <w:t xml:space="preserve"> </w:t>
      </w:r>
      <w:r>
        <w:t xml:space="preserve">aucun revenu.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le plus mauvais candidat sur la période.</w:t>
      </w:r>
    </w:p>
    <w:bookmarkEnd w:id="32"/>
    <w:bookmarkStart w:id="33" w:name="candidats-considérés-puis-écartés"/>
    <w:p>
      <w:pPr>
        <w:pStyle w:val="Heading3"/>
      </w:pPr>
      <w:r>
        <w:t xml:space="preserve">Candidats considérés puis écartés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Obligations convertibles :</w:t>
      </w:r>
      <w:r>
        <w:t xml:space="preserve"> </w:t>
      </w:r>
      <w:r>
        <w:t xml:space="preserve">hybride actions ; la corrélation aux actions monte en marché</w:t>
      </w:r>
      <w:r>
        <w:t xml:space="preserve"> </w:t>
      </w:r>
      <w:r>
        <w:t xml:space="preserve">haussier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en krach — échoue le test de diversification exactement quand on en a besoin ;</w:t>
      </w:r>
      <w:r>
        <w:t xml:space="preserve"> </w:t>
      </w:r>
      <w:r>
        <w:t xml:space="preserve">historique propre seulement depuis 2009.</w:t>
      </w:r>
      <w:r>
        <w:t xml:space="preserve"> </w:t>
      </w:r>
      <w:r>
        <w:rPr>
          <w:iCs/>
          <w:i/>
        </w:rPr>
        <w:t xml:space="preserve">Rehausseur de rendement, pas substitut obligataire.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Tranches CLO AAA :</w:t>
      </w:r>
      <w:r>
        <w:t xml:space="preserve"> </w:t>
      </w:r>
      <w:r>
        <w:t xml:space="preserve">intéressantes en théorie (senior, taux variable), mais</w:t>
      </w:r>
      <w:r>
        <w:t xml:space="preserve"> </w:t>
      </w:r>
      <w:r>
        <w:rPr>
          <w:bCs/>
          <w:b/>
        </w:rPr>
        <w:t xml:space="preserve">aucune série</w:t>
      </w:r>
      <w:r>
        <w:rPr>
          <w:bCs/>
          <w:b/>
        </w:rPr>
        <w:t xml:space="preserve"> </w:t>
      </w:r>
      <w:r>
        <w:rPr>
          <w:bCs/>
          <w:b/>
        </w:rPr>
        <w:t xml:space="preserve">Bloomberg fiable dans nos données</w:t>
      </w:r>
      <w:r>
        <w:t xml:space="preserve">, et le coût de couverture USD→CHF ronge le rendement.</w:t>
      </w:r>
      <w:r>
        <w:t xml:space="preserve"> </w:t>
      </w:r>
      <w:r>
        <w:rPr>
          <w:iCs/>
          <w:i/>
        </w:rPr>
        <w:t xml:space="preserve">Non retenues faute de données propres.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ILS / obligations catastrophe :</w:t>
      </w:r>
      <w:r>
        <w:t xml:space="preserve"> </w:t>
      </w:r>
      <w:r>
        <w:t xml:space="preserve">pas d'historique public total-return propre, semi-liquides.</w:t>
      </w:r>
      <w:r>
        <w:t xml:space="preserve"> </w:t>
      </w:r>
      <w:r>
        <w:rPr>
          <w:iCs/>
          <w:i/>
        </w:rPr>
        <w:t xml:space="preserve">Écartées (critère investissable / liquide non satisfait).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Private credit / dette privée :</w:t>
      </w:r>
      <w:r>
        <w:t xml:space="preserve"> </w:t>
      </w:r>
      <w:r>
        <w:t xml:space="preserve">illiquide, VNI lissée (volatilité artificiellement basse),</w:t>
      </w:r>
      <w:r>
        <w:t xml:space="preserve"> </w:t>
      </w:r>
      <w:r>
        <w:t xml:space="preserve">blocage 4–7 ans.</w:t>
      </w:r>
      <w:r>
        <w:t xml:space="preserve"> </w:t>
      </w:r>
      <w:r>
        <w:rPr>
          <w:iCs/>
          <w:i/>
        </w:rPr>
        <w:t xml:space="preserve">Écartée.</w:t>
      </w:r>
    </w:p>
    <w:bookmarkEnd w:id="33"/>
    <w:bookmarkEnd w:id="34"/>
    <w:bookmarkStart w:id="35" w:name="X8f082fed9799f84aaaa23f87e2759257b2214ea"/>
    <w:p>
      <w:pPr>
        <w:pStyle w:val="Heading2"/>
      </w:pPr>
      <w:r>
        <w:t xml:space="preserve">V. Tableau de comparaison principal (2008–2026, par actif)</w:t>
      </w:r>
    </w:p>
    <w:p>
      <w:pPr>
        <w:pStyle w:val="FirstParagraph"/>
      </w:pPr>
      <w:r>
        <w:t xml:space="preserve">Sharpe = excès sur cash CHF. Les quatre premières lignes sont les obligations à remplacer.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Actif (proxy)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oblig.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Rappel : actions monde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que le tableau dit déjà :</w:t>
      </w:r>
      <w:r>
        <w:t xml:space="preserve"> </w:t>
      </w:r>
      <w:r>
        <w:t xml:space="preserve">l'or est le seul vrai</w:t>
      </w:r>
      <w:r>
        <w:t xml:space="preserve"> </w:t>
      </w:r>
      <w:r>
        <w:rPr>
          <w:bCs/>
          <w:b/>
        </w:rPr>
        <w:t xml:space="preserve">diversificateur</w:t>
      </w:r>
      <w:r>
        <w:t xml:space="preserve"> </w:t>
      </w:r>
      <w:r>
        <w:t xml:space="preserve">(corr ≈ 0 aux actions) ;</w:t>
      </w:r>
      <w:r>
        <w:t xml:space="preserve"> </w:t>
      </w:r>
      <w:r>
        <w:t xml:space="preserve">la dette émergente est le plus</w:t>
      </w:r>
      <w:r>
        <w:t xml:space="preserve"> </w:t>
      </w:r>
      <w:r>
        <w:rPr>
          <w:bCs/>
          <w:b/>
        </w:rPr>
        <w:t xml:space="preserve">obligataire</w:t>
      </w:r>
      <w:r>
        <w:t xml:space="preserve"> </w:t>
      </w:r>
      <w:r>
        <w:t xml:space="preserve">(corr 0,65 aux obligations) ; HY et infrastructures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trop proches des actions</w:t>
      </w:r>
      <w:r>
        <w:t xml:space="preserve"> </w:t>
      </w:r>
      <w:r>
        <w:t xml:space="preserve">; matières premières et managed futures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bookmarkEnd w:id="35"/>
    <w:bookmarkStart w:id="36" w:name="X08d2dc509a60883279f0aa9ceb27b14571c092c"/>
    <w:p>
      <w:pPr>
        <w:pStyle w:val="Heading2"/>
      </w:pPr>
      <w:r>
        <w:t xml:space="preserve">VI. Matrice de stress par crise (rendement total, net de frais)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Fenêtre de crise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(0 %)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Remplacement 100 % (mélange égal)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Krach COVID 2020 (janv.–avr.)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protègent → remplacer</w:t>
            </w:r>
            <w:r>
              <w:t xml:space="preserve"> </w:t>
            </w:r>
            <w:r>
              <w:rPr>
                <w:bCs/>
                <w:b/>
              </w:rPr>
              <w:t xml:space="preserve">nuit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Choc de taux 2022 (déc.21–oct.22)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  <w:r>
              <w:t xml:space="preserve"> </w:t>
            </w:r>
            <w:r>
              <w:rPr>
                <w:iCs/>
                <w:i/>
              </w:rPr>
              <w:t xml:space="preserve">et</w:t>
            </w:r>
            <w:r>
              <w:t xml:space="preserve"> </w:t>
            </w:r>
            <w:r>
              <w:t xml:space="preserve">actions chutent → remplacer</w:t>
            </w:r>
            <w:r>
              <w:t xml:space="preserve"> </w:t>
            </w:r>
            <w:r>
              <w:rPr>
                <w:bCs/>
                <w:b/>
              </w:rPr>
              <w:t xml:space="preserve">aide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bancaire 2023 (févr.–mai)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léger avantage aux obligations</w:t>
            </w:r>
          </w:p>
        </w:tc>
      </w:tr>
    </w:tbl>
    <w:p>
      <w:pPr>
        <w:pStyle w:val="BodyText"/>
      </w:pPr>
      <w:r>
        <w:t xml:space="preserve">Les deux grandes crises pointent en sens opposés : le remplacement</w:t>
      </w:r>
      <w:r>
        <w:t xml:space="preserve"> </w:t>
      </w:r>
      <w:r>
        <w:rPr>
          <w:bCs/>
          <w:b/>
        </w:rPr>
        <w:t xml:space="preserve">change contre quelle crise on</w:t>
      </w:r>
      <w:r>
        <w:rPr>
          <w:bCs/>
          <w:b/>
        </w:rPr>
        <w:t xml:space="preserve"> </w:t>
      </w:r>
      <w:r>
        <w:rPr>
          <w:bCs/>
          <w:b/>
        </w:rPr>
        <w:t xml:space="preserve">est protégé</w:t>
      </w:r>
      <w:r>
        <w:t xml:space="preserve">, il ne supprime pas le risque de crise.</w:t>
      </w:r>
    </w:p>
    <w:bookmarkEnd w:id="36"/>
    <w:bookmarkStart w:id="41" w:name="X89f3ca3eb7f1aee59a9a8fb3139ece6dfccbfd7"/>
    <w:p>
      <w:pPr>
        <w:pStyle w:val="Heading2"/>
      </w:pPr>
      <w:r>
        <w:t xml:space="preserve">VII. Réallocation proposée — portefeuille cible</w:t>
      </w:r>
    </w:p>
    <w:p>
      <w:pPr>
        <w:pStyle w:val="FirstParagraph"/>
      </w:pPr>
      <w:r>
        <w:t xml:space="preserve">On procède en trois étapes, du plus simple au plus avancé.</w:t>
      </w:r>
    </w:p>
    <w:bookmarkStart w:id="37" w:name="X74ba174a034c0d68cd2338748539289d5515491"/>
    <w:p>
      <w:pPr>
        <w:pStyle w:val="Heading3"/>
      </w:pPr>
      <w:r>
        <w:t xml:space="preserve">Étape A — remplacer les obligations par UNE alternative à la fois</w:t>
      </w:r>
    </w:p>
    <w:p>
      <w:pPr>
        <w:pStyle w:val="FirstParagraph"/>
      </w:pPr>
      <w:r>
        <w:t xml:space="preserve">En remplaçant</w:t>
      </w:r>
      <w:r>
        <w:t xml:space="preserve"> </w:t>
      </w:r>
      <w:r>
        <w:rPr>
          <w:bCs/>
          <w:b/>
        </w:rPr>
        <w:t xml:space="preserve">100 % des obligations</w:t>
      </w:r>
      <w:r>
        <w:t xml:space="preserve"> </w:t>
      </w:r>
      <w:r>
        <w:t xml:space="preserve">par un seul actif (</w:t>
      </w:r>
      <w:r>
        <w:rPr>
          <w:rStyle w:val="VerbatimChar"/>
        </w:rPr>
        <w:t xml:space="preserve">analysis/single_alt_full_replacement.csv</w:t>
      </w:r>
      <w:r>
        <w:t xml:space="preserve">),</w:t>
      </w:r>
      <w:r>
        <w:t xml:space="preserve"> </w:t>
      </w:r>
      <w:r>
        <w:t xml:space="preserve">classé par Sharpe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100 % des obligations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 seule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seuls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 de l'Étape A :</w:t>
      </w:r>
      <w:r>
        <w:t xml:space="preserve"> </w:t>
      </w:r>
      <w:r>
        <w:t xml:space="preserve">seule l'or, isolée, bat la référence sur le Sharpe. Tous les autres</w:t>
      </w:r>
      <w:r>
        <w:t xml:space="preserve"> </w:t>
      </w:r>
      <w:r>
        <w:t xml:space="preserve">font aussi bien ou moins bien, et deux perdent de l'argent.</w:t>
      </w:r>
    </w:p>
    <w:bookmarkEnd w:id="37"/>
    <w:bookmarkStart w:id="38" w:name="Xe884dda88d3c3abf0bb7a85e3e0c7527375f5fc"/>
    <w:p>
      <w:pPr>
        <w:pStyle w:val="Heading3"/>
      </w:pPr>
      <w:r>
        <w:t xml:space="preserve">Étape B — remplacer par un MÉLANGE (et pourquoi ce mélange)</w:t>
      </w:r>
    </w:p>
    <w:p>
      <w:pPr>
        <w:pStyle w:val="FirstParagraph"/>
      </w:pPr>
      <w:r>
        <w:t xml:space="preserve">Un actif unique est fragile (tous les œufs dans le même panier, surtout l'or). On diversifie donc.</w:t>
      </w:r>
      <w:r>
        <w:t xml:space="preserve"> </w:t>
      </w:r>
      <w:r>
        <w:t xml:space="preserve">L'Étape A dit</w:t>
      </w:r>
      <w:r>
        <w:t xml:space="preserve"> </w:t>
      </w:r>
      <w:r>
        <w:rPr>
          <w:bCs/>
          <w:b/>
        </w:rPr>
        <w:t xml:space="preserve">exactement comment composer le mélange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Mélange (100 % des obligations remplacé)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(les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(HY 35 / EM 30 / or 20 / infra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</w:tbl>
    <w:p>
      <w:pPr>
        <w:pStyle w:val="BodyText"/>
      </w:pPr>
      <w:r>
        <w:t xml:space="preserve">Le mélange</w:t>
      </w:r>
      <w:r>
        <w:t xml:space="preserve"> </w:t>
      </w:r>
      <w:r>
        <w:rPr>
          <w:bCs/>
          <w:b/>
        </w:rPr>
        <w:t xml:space="preserve">équipondéré</w:t>
      </w:r>
      <w:r>
        <w:t xml:space="preserve"> </w:t>
      </w:r>
      <w:r>
        <w:t xml:space="preserve">fait</w:t>
      </w:r>
      <w:r>
        <w:t xml:space="preserve"> </w:t>
      </w:r>
      <w:r>
        <w:rPr>
          <w:iCs/>
          <w:i/>
        </w:rPr>
        <w:t xml:space="preserve">moins bien</w:t>
      </w:r>
      <w:r>
        <w:t xml:space="preserve"> </w:t>
      </w:r>
      <w:r>
        <w:t xml:space="preserve">que garder les obligations (0,46 &lt; 0,48) car il donne</w:t>
      </w:r>
      <w:r>
        <w:t xml:space="preserve"> </w:t>
      </w:r>
      <w:r>
        <w:t xml:space="preserve">autant de poids aux matières premières et aux managed futures — les deux perdants. Le mélange</w:t>
      </w:r>
      <w:r>
        <w:t xml:space="preserve"> </w:t>
      </w:r>
      <w:r>
        <w:rPr>
          <w:bCs/>
          <w:b/>
        </w:rPr>
        <w:t xml:space="preserve">trié</w:t>
      </w:r>
      <w:r>
        <w:t xml:space="preserve"> </w:t>
      </w:r>
      <w:r>
        <w:t xml:space="preserve">écarte ces deux-là et pondère les actifs de portage (HY, EM) plus l'or diversificateur :</w:t>
      </w:r>
      <w:r>
        <w:t xml:space="preserve"> </w:t>
      </w:r>
      <w:r>
        <w:t xml:space="preserve">Sharpe 0,52.</w:t>
      </w:r>
    </w:p>
    <w:p>
      <w:pPr>
        <w:pStyle w:val="BlockText"/>
      </w:pPr>
      <w:r>
        <w:rPr>
          <w:bCs/>
          <w:b/>
        </w:rPr>
        <w:t xml:space="preserve">Justification des poids :</w:t>
      </w:r>
      <w:r>
        <w:t xml:space="preserve"> </w:t>
      </w:r>
      <w:r>
        <w:t xml:space="preserve">HY et EM sont les deux actifs de</w:t>
      </w:r>
      <w:r>
        <w:t xml:space="preserve"> </w:t>
      </w:r>
      <w:r>
        <w:rPr>
          <w:bCs/>
          <w:b/>
        </w:rPr>
        <w:t xml:space="preserve">portage</w:t>
      </w:r>
      <w:r>
        <w:t xml:space="preserve"> </w:t>
      </w:r>
      <w:r>
        <w:t xml:space="preserve">qui reproduisent le</w:t>
      </w:r>
      <w:r>
        <w:t xml:space="preserve"> </w:t>
      </w:r>
      <w:r>
        <w:t xml:space="preserve">mieux ce que font les obligations (35 % + 30 %) ; l'or est le seul à améliorer le rendement</w:t>
      </w:r>
      <w:r>
        <w:t xml:space="preserve"> </w:t>
      </w:r>
      <w:r>
        <w:t xml:space="preserve">ajusté au risque seul, d'où</w:t>
      </w:r>
      <w:r>
        <w:t xml:space="preserve"> </w:t>
      </w:r>
      <w:r>
        <w:rPr>
          <w:bCs/>
          <w:b/>
        </w:rPr>
        <w:t xml:space="preserve">20 %</w:t>
      </w:r>
      <w:r>
        <w:t xml:space="preserve"> </w:t>
      </w:r>
      <w:r>
        <w:t xml:space="preserve">comme diversificateur ; l'infrastructure ajoute un peu</w:t>
      </w:r>
      <w:r>
        <w:t xml:space="preserve"> </w:t>
      </w:r>
      <w:r>
        <w:t xml:space="preserve">d'exposition réelle (15 %). Matières premières et managed futures sont</w:t>
      </w:r>
      <w:r>
        <w:t xml:space="preserve"> </w:t>
      </w:r>
      <w:r>
        <w:rPr>
          <w:bCs/>
          <w:b/>
        </w:rPr>
        <w:t xml:space="preserve">exclus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Réserve importante :</w:t>
      </w:r>
      <w:r>
        <w:t xml:space="preserve"> </w:t>
      </w:r>
      <w:r>
        <w:t xml:space="preserve">ce mélange trié est choisi</w:t>
      </w:r>
      <w:r>
        <w:t xml:space="preserve"> </w:t>
      </w:r>
      <w:r>
        <w:rPr>
          <w:iCs/>
          <w:i/>
        </w:rPr>
        <w:t xml:space="preserve">après avoir vu</w:t>
      </w:r>
      <w:r>
        <w:t xml:space="preserve"> </w:t>
      </w:r>
      <w:r>
        <w:t xml:space="preserve">les résultats — il est</w:t>
      </w:r>
      <w:r>
        <w:t xml:space="preserve"> </w:t>
      </w:r>
      <w:r>
        <w:rPr>
          <w:bCs/>
          <w:b/>
        </w:rPr>
        <w:t xml:space="preserve">exploratoire</w:t>
      </w:r>
      <w:r>
        <w:t xml:space="preserve">, pas une promesse. À valider hors échantillon.</w:t>
      </w:r>
    </w:p>
    <w:bookmarkEnd w:id="38"/>
    <w:bookmarkStart w:id="39" w:name="X22b7f7968761df9ee7c77b2e07efadf22fd8886"/>
    <w:p>
      <w:pPr>
        <w:pStyle w:val="Heading3"/>
      </w:pPr>
      <w:r>
        <w:t xml:space="preserve">Étape C — une allocation optimisée (avancée)</w:t>
      </w:r>
    </w:p>
    <w:p>
      <w:pPr>
        <w:pStyle w:val="FirstParagraph"/>
      </w:pPr>
      <w:r>
        <w:t xml:space="preserve">On laisse enfin un optimiseur choisir les poids des 42 % pour maximiser le Sharpe en échantillon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analysis/appendix_optimisation_*.csv</w:t>
      </w:r>
      <w:r>
        <w:t xml:space="preserve">) — un</w:t>
      </w:r>
      <w:r>
        <w:t xml:space="preserve"> </w:t>
      </w:r>
      <w:r>
        <w:rPr>
          <w:bCs/>
          <w:b/>
        </w:rPr>
        <w:t xml:space="preserve">majorant optimiste</w:t>
      </w:r>
      <w:r>
        <w:t xml:space="preserve">, non implémentable tel quel.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Optimisé (en échantillon)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qu'il choisit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30 % obligations suisses + 12 % or (garde les obligations 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/ 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 obligations monde courtes (tout en obligations)</w:t>
            </w:r>
          </w:p>
        </w:tc>
      </w:tr>
    </w:tbl>
    <w:p>
      <w:pPr>
        <w:pStyle w:val="BodyText"/>
      </w:pPr>
      <w:r>
        <w:rPr>
          <w:bCs/>
          <w:b/>
        </w:rPr>
        <w:t xml:space="preserve">Leçon de l'Étape C :</w:t>
      </w:r>
      <w:r>
        <w:t xml:space="preserve"> </w:t>
      </w:r>
      <w:r>
        <w:t xml:space="preserve">même libre de tout retirer, l'optimiseur</w:t>
      </w:r>
      <w:r>
        <w:t xml:space="preserve"> </w:t>
      </w:r>
      <w:r>
        <w:rPr>
          <w:bCs/>
          <w:b/>
        </w:rPr>
        <w:t xml:space="preserve">garde une large part</w:t>
      </w:r>
      <w:r>
        <w:rPr>
          <w:bCs/>
          <w:b/>
        </w:rPr>
        <w:t xml:space="preserve"> </w:t>
      </w:r>
      <w:r>
        <w:rPr>
          <w:bCs/>
          <w:b/>
        </w:rPr>
        <w:t xml:space="preserve">d'obligations</w:t>
      </w:r>
      <w:r>
        <w:t xml:space="preserve"> </w:t>
      </w:r>
      <w:r>
        <w:t xml:space="preserve">et n'ajoute qu'un peu d'or. Il ne remplace jamais les obligations en totalité —</w:t>
      </w:r>
      <w:r>
        <w:t xml:space="preserve"> </w:t>
      </w:r>
      <w:r>
        <w:t xml:space="preserve">même message que les Étapes A et B, par une méthode totalement différente.</w:t>
      </w:r>
    </w:p>
    <w:bookmarkEnd w:id="39"/>
    <w:bookmarkStart w:id="40" w:name="recommandation-finale"/>
    <w:p>
      <w:pPr>
        <w:pStyle w:val="Heading3"/>
      </w:pPr>
      <w:r>
        <w:t xml:space="preserve">Recommandation finale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Cela aggrave la pire perte et la perte extrême</w:t>
      </w:r>
      <w:r>
        <w:t xml:space="preserve"> </w:t>
      </w:r>
      <w:r>
        <w:t xml:space="preserve">sans gain de Sharpe fiable, et retire la protection de type 2020.</w:t>
      </w:r>
    </w:p>
    <w:p>
      <w:pPr>
        <w:numPr>
          <w:ilvl w:val="0"/>
          <w:numId w:val="1010"/>
        </w:numPr>
        <w:pStyle w:val="Compact"/>
      </w:pPr>
      <w:r>
        <w:t xml:space="preserve">Un remplacement</w:t>
      </w:r>
      <w:r>
        <w:t xml:space="preserve"> </w:t>
      </w:r>
      <w:r>
        <w:rPr>
          <w:bCs/>
          <w:b/>
        </w:rPr>
        <w:t xml:space="preserve">partiel</w:t>
      </w:r>
      <w:r>
        <w:t xml:space="preserve"> </w:t>
      </w:r>
      <w:r>
        <w:t xml:space="preserve">est un</w:t>
      </w:r>
      <w:r>
        <w:t xml:space="preserve"> </w:t>
      </w:r>
      <w:r>
        <w:rPr>
          <w:bCs/>
          <w:b/>
        </w:rPr>
        <w:t xml:space="preserve">compromis de budget de risque</w:t>
      </w:r>
      <w:r>
        <w:t xml:space="preserve"> </w:t>
      </w:r>
      <w:r>
        <w:t xml:space="preserve">(plus de rendement contre</w:t>
      </w:r>
      <w:r>
        <w:t xml:space="preserve"> </w:t>
      </w:r>
      <w:r>
        <w:t xml:space="preserve">plus de risque baissier), pas une optimisation.</w:t>
      </w:r>
    </w:p>
    <w:p>
      <w:pPr>
        <w:numPr>
          <w:ilvl w:val="0"/>
          <w:numId w:val="1010"/>
        </w:numPr>
        <w:pStyle w:val="Compact"/>
      </w:pPr>
      <w:r>
        <w:t xml:space="preserve">L'ajout le plus utile historiquement 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— un pari</w:t>
      </w:r>
      <w:r>
        <w:t xml:space="preserve"> </w:t>
      </w:r>
      <w:r>
        <w:t xml:space="preserve">concentré, à stresser avant tout usage.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longues + courtes) : elles se</w:t>
      </w:r>
      <w:r>
        <w:t xml:space="preserve"> </w:t>
      </w:r>
      <w:r>
        <w:t xml:space="preserve">comportent différemment selon les régimes et ne sont pas redondantes.</w:t>
      </w:r>
    </w:p>
    <w:bookmarkEnd w:id="40"/>
    <w:bookmarkEnd w:id="41"/>
    <w:bookmarkStart w:id="42" w:name="Xed268cfd765b9818970c6aeeede989c06ad1c4d"/>
    <w:p>
      <w:pPr>
        <w:pStyle w:val="Heading2"/>
      </w:pPr>
      <w:r>
        <w:t xml:space="preserve">Ce qui reste à faire (travail de rédaction)</w:t>
      </w:r>
    </w:p>
    <w:p>
      <w:pPr>
        <w:pStyle w:val="FirstParagraph"/>
      </w:pPr>
      <w:r>
        <w:t xml:space="preserve">L'analyse empirique (données, portefeuilles, résultats, robustesse) est complète et reproductible.</w:t>
      </w:r>
      <w:r>
        <w:t xml:space="preserve"> </w:t>
      </w:r>
      <w:r>
        <w:t xml:space="preserve">Restent à écrire par l'étudiante : la</w:t>
      </w:r>
      <w:r>
        <w:t xml:space="preserve"> </w:t>
      </w:r>
      <w:r>
        <w:rPr>
          <w:bCs/>
          <w:b/>
        </w:rPr>
        <w:t xml:space="preserve">revue de littérature</w:t>
      </w:r>
      <w:r>
        <w:t xml:space="preserve">, le</w:t>
      </w:r>
      <w:r>
        <w:t xml:space="preserve"> </w:t>
      </w:r>
      <w:r>
        <w:rPr>
          <w:bCs/>
          <w:b/>
        </w:rPr>
        <w:t xml:space="preserve">cadre théorique</w:t>
      </w:r>
      <w:r>
        <w:t xml:space="preserve">, les</w:t>
      </w:r>
      <w:r>
        <w:t xml:space="preserve"> </w:t>
      </w:r>
      <w:r>
        <w:rPr>
          <w:bCs/>
          <w:b/>
        </w:rPr>
        <w:t xml:space="preserve">références</w:t>
      </w:r>
      <w:r>
        <w:t xml:space="preserve">, l'introduction, la discussion et la conclusion rédigées.</w:t>
      </w:r>
    </w:p>
    <w:p>
      <w:pPr>
        <w:pStyle w:val="BodyText"/>
      </w:pPr>
      <w:r>
        <w:t xml:space="preserve">\newpage</w:t>
      </w:r>
    </w:p>
    <w:bookmarkEnd w:id="42"/>
    <w:bookmarkStart w:id="58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aux obligations dans un portefeuille suisse (VZ AP5, 2008–2026)</dc:title>
  <dc:creator/>
  <cp:keywords/>
  <dcterms:created xsi:type="dcterms:W3CDTF">2026-08-16T22:55:23Z</dcterms:created>
  <dcterms:modified xsi:type="dcterms:W3CDTF">2026-08-16T22:55:23Z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